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A75AB" w14:textId="77777777" w:rsidR="00DF1BB5" w:rsidRDefault="00DF1BB5" w:rsidP="00B27541">
      <w:pPr>
        <w:jc w:val="both"/>
        <w:rPr>
          <w:rFonts w:ascii="Arial Narrow" w:hAnsi="Arial Narrow" w:cs="Arial"/>
        </w:rPr>
      </w:pPr>
    </w:p>
    <w:p w14:paraId="28244367" w14:textId="77777777" w:rsidR="008B6608" w:rsidRDefault="008B6608" w:rsidP="00B27541">
      <w:pPr>
        <w:jc w:val="both"/>
        <w:rPr>
          <w:rFonts w:ascii="Arial Narrow" w:hAnsi="Arial Narrow" w:cs="Arial"/>
        </w:rPr>
      </w:pPr>
    </w:p>
    <w:p w14:paraId="6DBB5A4D" w14:textId="77777777" w:rsidR="008B6608" w:rsidRDefault="008B6608" w:rsidP="00B27541">
      <w:pPr>
        <w:jc w:val="both"/>
        <w:rPr>
          <w:rFonts w:ascii="Arial Narrow" w:hAnsi="Arial Narrow" w:cs="Arial"/>
        </w:rPr>
      </w:pPr>
    </w:p>
    <w:tbl>
      <w:tblPr>
        <w:tblW w:w="0" w:type="auto"/>
        <w:tblCellMar>
          <w:left w:w="70" w:type="dxa"/>
          <w:right w:w="70" w:type="dxa"/>
        </w:tblCellMar>
        <w:tblLook w:val="04A0" w:firstRow="1" w:lastRow="0" w:firstColumn="1" w:lastColumn="0" w:noHBand="0" w:noVBand="1"/>
      </w:tblPr>
      <w:tblGrid>
        <w:gridCol w:w="8828"/>
      </w:tblGrid>
      <w:tr w:rsidR="00235AC0" w:rsidRPr="00235AC0" w14:paraId="553DEC55" w14:textId="77777777" w:rsidTr="00235AC0">
        <w:trPr>
          <w:trHeight w:val="255"/>
        </w:trPr>
        <w:tc>
          <w:tcPr>
            <w:tcW w:w="0" w:type="auto"/>
            <w:tcBorders>
              <w:top w:val="single" w:sz="4" w:space="0" w:color="auto"/>
              <w:left w:val="single" w:sz="4" w:space="0" w:color="auto"/>
              <w:bottom w:val="nil"/>
              <w:right w:val="single" w:sz="4" w:space="0" w:color="000000"/>
            </w:tcBorders>
            <w:vAlign w:val="center"/>
            <w:hideMark/>
          </w:tcPr>
          <w:p w14:paraId="742547BC" w14:textId="47602BE0" w:rsidR="00235AC0" w:rsidRPr="00235AC0" w:rsidRDefault="00244CDC" w:rsidP="00235AC0">
            <w:pPr>
              <w:jc w:val="center"/>
              <w:rPr>
                <w:rFonts w:ascii="Arial" w:eastAsia="Times New Roman" w:hAnsi="Arial" w:cs="Arial"/>
                <w:b/>
                <w:bCs/>
                <w:color w:val="000000"/>
                <w:sz w:val="20"/>
                <w:szCs w:val="20"/>
                <w:lang w:val="es-MX" w:eastAsia="es-MX"/>
              </w:rPr>
            </w:pPr>
            <w:r>
              <w:rPr>
                <w:rFonts w:ascii="Arial" w:eastAsia="Times New Roman" w:hAnsi="Arial" w:cs="Arial"/>
                <w:b/>
                <w:bCs/>
                <w:color w:val="000000"/>
                <w:sz w:val="20"/>
                <w:szCs w:val="20"/>
                <w:lang w:val="es-MX" w:eastAsia="es-MX"/>
              </w:rPr>
              <w:t>ANEXO N° 3.1.</w:t>
            </w:r>
            <w:r w:rsidR="00235AC0" w:rsidRPr="00235AC0">
              <w:rPr>
                <w:rFonts w:ascii="Arial" w:eastAsia="Times New Roman" w:hAnsi="Arial" w:cs="Arial"/>
                <w:b/>
                <w:bCs/>
                <w:color w:val="000000"/>
                <w:sz w:val="20"/>
                <w:szCs w:val="20"/>
                <w:lang w:val="es-MX" w:eastAsia="es-MX"/>
              </w:rPr>
              <w:t> </w:t>
            </w:r>
          </w:p>
        </w:tc>
      </w:tr>
      <w:tr w:rsidR="00235AC0" w:rsidRPr="00235AC0" w14:paraId="7CBF7E67" w14:textId="77777777" w:rsidTr="00235AC0">
        <w:trPr>
          <w:trHeight w:val="255"/>
        </w:trPr>
        <w:tc>
          <w:tcPr>
            <w:tcW w:w="0" w:type="auto"/>
            <w:tcBorders>
              <w:top w:val="nil"/>
              <w:left w:val="single" w:sz="4" w:space="0" w:color="auto"/>
              <w:bottom w:val="nil"/>
              <w:right w:val="single" w:sz="4" w:space="0" w:color="000000"/>
            </w:tcBorders>
            <w:vAlign w:val="center"/>
            <w:hideMark/>
          </w:tcPr>
          <w:p w14:paraId="43A06E97" w14:textId="77777777" w:rsidR="00235AC0" w:rsidRPr="00235AC0" w:rsidRDefault="00235AC0" w:rsidP="00235AC0">
            <w:pPr>
              <w:jc w:val="center"/>
              <w:rPr>
                <w:rFonts w:ascii="Arial" w:eastAsia="Times New Roman" w:hAnsi="Arial" w:cs="Arial"/>
                <w:b/>
                <w:bCs/>
                <w:color w:val="000000"/>
                <w:sz w:val="20"/>
                <w:szCs w:val="20"/>
                <w:lang w:val="es-MX" w:eastAsia="es-MX"/>
              </w:rPr>
            </w:pPr>
            <w:r w:rsidRPr="00235AC0">
              <w:rPr>
                <w:rFonts w:ascii="Arial" w:eastAsia="Times New Roman" w:hAnsi="Arial" w:cs="Arial"/>
                <w:b/>
                <w:bCs/>
                <w:color w:val="000000"/>
                <w:sz w:val="20"/>
                <w:szCs w:val="20"/>
                <w:lang w:val="es-MX" w:eastAsia="es-MX"/>
              </w:rPr>
              <w:t>GOBERNACIÓN DE SUCRE</w:t>
            </w:r>
          </w:p>
        </w:tc>
      </w:tr>
      <w:tr w:rsidR="00235AC0" w:rsidRPr="00235AC0" w14:paraId="017B24B4" w14:textId="77777777" w:rsidTr="00235AC0">
        <w:trPr>
          <w:trHeight w:val="255"/>
        </w:trPr>
        <w:tc>
          <w:tcPr>
            <w:tcW w:w="0" w:type="auto"/>
            <w:tcBorders>
              <w:top w:val="nil"/>
              <w:left w:val="single" w:sz="4" w:space="0" w:color="auto"/>
              <w:bottom w:val="nil"/>
              <w:right w:val="single" w:sz="4" w:space="0" w:color="000000"/>
            </w:tcBorders>
            <w:vAlign w:val="center"/>
            <w:hideMark/>
          </w:tcPr>
          <w:p w14:paraId="596136AB" w14:textId="7E2D1B97" w:rsidR="00235AC0" w:rsidRPr="00235AC0" w:rsidRDefault="00235AC0" w:rsidP="00235AC0">
            <w:pPr>
              <w:jc w:val="center"/>
              <w:rPr>
                <w:rFonts w:ascii="Arial" w:eastAsia="Times New Roman" w:hAnsi="Arial" w:cs="Arial"/>
                <w:b/>
                <w:bCs/>
                <w:color w:val="000000"/>
                <w:sz w:val="20"/>
                <w:szCs w:val="20"/>
                <w:lang w:val="es-MX" w:eastAsia="es-MX"/>
              </w:rPr>
            </w:pPr>
            <w:r w:rsidRPr="00235AC0">
              <w:rPr>
                <w:rFonts w:ascii="Arial" w:eastAsia="Times New Roman" w:hAnsi="Arial" w:cs="Arial"/>
                <w:b/>
                <w:bCs/>
                <w:color w:val="000000"/>
                <w:sz w:val="20"/>
                <w:szCs w:val="20"/>
                <w:lang w:val="es-MX" w:eastAsia="es-MX"/>
              </w:rPr>
              <w:t>CONDICIONES TÉCNICAS BÁSICAS OBLIGATORIAS</w:t>
            </w:r>
          </w:p>
        </w:tc>
      </w:tr>
      <w:tr w:rsidR="00235AC0" w:rsidRPr="00235AC0" w14:paraId="49774C70" w14:textId="77777777" w:rsidTr="00235AC0">
        <w:trPr>
          <w:trHeight w:val="255"/>
        </w:trPr>
        <w:tc>
          <w:tcPr>
            <w:tcW w:w="0" w:type="auto"/>
            <w:tcBorders>
              <w:top w:val="nil"/>
              <w:left w:val="single" w:sz="4" w:space="0" w:color="auto"/>
              <w:bottom w:val="single" w:sz="4" w:space="0" w:color="auto"/>
              <w:right w:val="single" w:sz="4" w:space="0" w:color="000000"/>
            </w:tcBorders>
            <w:vAlign w:val="center"/>
            <w:hideMark/>
          </w:tcPr>
          <w:p w14:paraId="6C3BB40D" w14:textId="77777777" w:rsidR="00235AC0" w:rsidRPr="00235AC0" w:rsidRDefault="00235AC0" w:rsidP="00235AC0">
            <w:pPr>
              <w:jc w:val="center"/>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PÓLIZA DE SEGURO DE RESPONSABILIDAD CIVIL SERVIDORES PÚBLICOS</w:t>
            </w:r>
          </w:p>
        </w:tc>
      </w:tr>
      <w:tr w:rsidR="00235AC0" w:rsidRPr="00235AC0" w14:paraId="4EC36938" w14:textId="77777777" w:rsidTr="00235AC0">
        <w:trPr>
          <w:trHeight w:val="480"/>
        </w:trPr>
        <w:tc>
          <w:tcPr>
            <w:tcW w:w="0" w:type="auto"/>
            <w:tcBorders>
              <w:top w:val="single" w:sz="4" w:space="0" w:color="auto"/>
              <w:left w:val="single" w:sz="4" w:space="0" w:color="auto"/>
              <w:bottom w:val="single" w:sz="4" w:space="0" w:color="auto"/>
              <w:right w:val="single" w:sz="4" w:space="0" w:color="000000"/>
            </w:tcBorders>
            <w:vAlign w:val="bottom"/>
            <w:hideMark/>
          </w:tcPr>
          <w:p w14:paraId="00BC317E" w14:textId="77777777" w:rsidR="00235AC0" w:rsidRPr="00235AC0" w:rsidRDefault="00235AC0" w:rsidP="00235AC0">
            <w:pPr>
              <w:jc w:val="both"/>
              <w:rPr>
                <w:rFonts w:ascii="Arial" w:eastAsia="Times New Roman" w:hAnsi="Arial" w:cs="Arial"/>
                <w:color w:val="000000"/>
                <w:sz w:val="20"/>
                <w:szCs w:val="20"/>
                <w:lang w:val="es-MX" w:eastAsia="es-MX"/>
              </w:rPr>
            </w:pPr>
            <w:r w:rsidRPr="00235AC0">
              <w:rPr>
                <w:rFonts w:ascii="Arial" w:eastAsia="Times New Roman" w:hAnsi="Arial" w:cs="Arial"/>
                <w:color w:val="000000"/>
                <w:sz w:val="20"/>
                <w:szCs w:val="20"/>
                <w:lang w:val="es-MX" w:eastAsia="es-MX"/>
              </w:rPr>
              <w:t xml:space="preserve">Las condiciones que a continuación se relacionan, son de obligatorio ofrecimiento y se entenderán aceptadas en la carta de presentación de la oferta </w:t>
            </w:r>
          </w:p>
        </w:tc>
      </w:tr>
      <w:tr w:rsidR="00235AC0" w:rsidRPr="00235AC0" w14:paraId="0A1A746C" w14:textId="77777777" w:rsidTr="00235AC0">
        <w:trPr>
          <w:trHeight w:val="255"/>
        </w:trPr>
        <w:tc>
          <w:tcPr>
            <w:tcW w:w="0" w:type="auto"/>
            <w:tcBorders>
              <w:top w:val="single" w:sz="4" w:space="0" w:color="auto"/>
              <w:left w:val="single" w:sz="4" w:space="0" w:color="auto"/>
              <w:bottom w:val="single" w:sz="4" w:space="0" w:color="auto"/>
              <w:right w:val="single" w:sz="4" w:space="0" w:color="000000"/>
            </w:tcBorders>
            <w:shd w:val="clear" w:color="000000" w:fill="FF0000"/>
            <w:vAlign w:val="bottom"/>
            <w:hideMark/>
          </w:tcPr>
          <w:p w14:paraId="39A856E5" w14:textId="77777777" w:rsidR="00235AC0" w:rsidRPr="00235AC0" w:rsidRDefault="00235AC0" w:rsidP="00235AC0">
            <w:pPr>
              <w:jc w:val="both"/>
              <w:rPr>
                <w:rFonts w:ascii="Arial" w:eastAsia="Times New Roman" w:hAnsi="Arial" w:cs="Arial"/>
                <w:b/>
                <w:bCs/>
                <w:color w:val="FFFFFF"/>
                <w:sz w:val="20"/>
                <w:szCs w:val="20"/>
                <w:lang w:val="es-MX" w:eastAsia="es-MX"/>
              </w:rPr>
            </w:pPr>
            <w:r w:rsidRPr="00235AC0">
              <w:rPr>
                <w:rFonts w:ascii="Arial" w:eastAsia="Times New Roman" w:hAnsi="Arial" w:cs="Arial"/>
                <w:b/>
                <w:bCs/>
                <w:color w:val="FFFFFF"/>
                <w:sz w:val="20"/>
                <w:szCs w:val="20"/>
                <w:lang w:val="es-MX" w:eastAsia="es-MX"/>
              </w:rPr>
              <w:t>Objeto del Seguro:</w:t>
            </w:r>
          </w:p>
        </w:tc>
      </w:tr>
      <w:tr w:rsidR="00235AC0" w:rsidRPr="00235AC0" w14:paraId="42E2CB89" w14:textId="77777777" w:rsidTr="00235AC0">
        <w:trPr>
          <w:trHeight w:val="1215"/>
        </w:trPr>
        <w:tc>
          <w:tcPr>
            <w:tcW w:w="0" w:type="auto"/>
            <w:tcBorders>
              <w:top w:val="single" w:sz="4" w:space="0" w:color="auto"/>
              <w:left w:val="single" w:sz="4" w:space="0" w:color="auto"/>
              <w:bottom w:val="single" w:sz="4" w:space="0" w:color="auto"/>
              <w:right w:val="single" w:sz="4" w:space="0" w:color="000000"/>
            </w:tcBorders>
            <w:vAlign w:val="bottom"/>
            <w:hideMark/>
          </w:tcPr>
          <w:p w14:paraId="33F115EC" w14:textId="3FF8DDAB" w:rsidR="00235AC0" w:rsidRPr="00235AC0" w:rsidRDefault="00235AC0" w:rsidP="00235AC0">
            <w:pPr>
              <w:jc w:val="both"/>
              <w:rPr>
                <w:rFonts w:ascii="Arial" w:eastAsia="Times New Roman" w:hAnsi="Arial" w:cs="Arial"/>
                <w:sz w:val="20"/>
                <w:szCs w:val="20"/>
                <w:lang w:val="es-MX" w:eastAsia="es-MX"/>
              </w:rPr>
            </w:pPr>
            <w:r w:rsidRPr="00235AC0">
              <w:rPr>
                <w:rFonts w:ascii="Arial" w:eastAsia="Times New Roman" w:hAnsi="Arial" w:cs="Arial"/>
                <w:sz w:val="20"/>
                <w:szCs w:val="20"/>
                <w:lang w:val="es-MX" w:eastAsia="es-MX"/>
              </w:rPr>
              <w:t>Amparar los perjuicios patrimoniales causados a GOBERNACIÓN DE SUCRE y/o Terceros, como consecuencia de acciones u omisiones culposas y/o error negligente y/o culpa grave imputable a uno o varios funcionarios que ocupen los cargos asegurados. La cobertura se extiende a cubrir los gastos de defensa en los que deban incurrir los Asegurados para su defensa en cualquier tipo de investigación y/o proceso en el que se esté definiendo su responsabilidad.</w:t>
            </w:r>
          </w:p>
        </w:tc>
      </w:tr>
      <w:tr w:rsidR="00235AC0" w:rsidRPr="00235AC0" w14:paraId="54A62651" w14:textId="77777777" w:rsidTr="00235AC0">
        <w:trPr>
          <w:trHeight w:val="255"/>
        </w:trPr>
        <w:tc>
          <w:tcPr>
            <w:tcW w:w="0" w:type="auto"/>
            <w:tcBorders>
              <w:top w:val="single" w:sz="4" w:space="0" w:color="auto"/>
              <w:left w:val="single" w:sz="4" w:space="0" w:color="auto"/>
              <w:bottom w:val="single" w:sz="4" w:space="0" w:color="auto"/>
              <w:right w:val="single" w:sz="4" w:space="0" w:color="000000"/>
            </w:tcBorders>
            <w:shd w:val="clear" w:color="000000" w:fill="FF0000"/>
            <w:vAlign w:val="bottom"/>
            <w:hideMark/>
          </w:tcPr>
          <w:p w14:paraId="11A72794" w14:textId="77777777" w:rsidR="00235AC0" w:rsidRPr="00235AC0" w:rsidRDefault="00235AC0" w:rsidP="00235AC0">
            <w:pPr>
              <w:jc w:val="both"/>
              <w:rPr>
                <w:rFonts w:ascii="Arial" w:eastAsia="Times New Roman" w:hAnsi="Arial" w:cs="Arial"/>
                <w:b/>
                <w:bCs/>
                <w:color w:val="FFFFFF"/>
                <w:sz w:val="20"/>
                <w:szCs w:val="20"/>
                <w:lang w:val="es-MX" w:eastAsia="es-MX"/>
              </w:rPr>
            </w:pPr>
            <w:r w:rsidRPr="00235AC0">
              <w:rPr>
                <w:rFonts w:ascii="Arial" w:eastAsia="Times New Roman" w:hAnsi="Arial" w:cs="Arial"/>
                <w:b/>
                <w:bCs/>
                <w:color w:val="FFFFFF"/>
                <w:sz w:val="20"/>
                <w:szCs w:val="20"/>
                <w:lang w:val="es-MX" w:eastAsia="es-MX"/>
              </w:rPr>
              <w:t>Asegurados</w:t>
            </w:r>
          </w:p>
        </w:tc>
      </w:tr>
      <w:tr w:rsidR="00235AC0" w:rsidRPr="00235AC0" w14:paraId="2337E182" w14:textId="77777777" w:rsidTr="00235AC0">
        <w:trPr>
          <w:trHeight w:val="900"/>
        </w:trPr>
        <w:tc>
          <w:tcPr>
            <w:tcW w:w="0" w:type="auto"/>
            <w:tcBorders>
              <w:top w:val="single" w:sz="4" w:space="0" w:color="auto"/>
              <w:left w:val="single" w:sz="4" w:space="0" w:color="auto"/>
              <w:bottom w:val="single" w:sz="4" w:space="0" w:color="auto"/>
              <w:right w:val="single" w:sz="4" w:space="0" w:color="000000"/>
            </w:tcBorders>
            <w:vAlign w:val="bottom"/>
            <w:hideMark/>
          </w:tcPr>
          <w:p w14:paraId="0518CB32" w14:textId="06AD492C" w:rsidR="00235AC0" w:rsidRPr="00235AC0" w:rsidRDefault="00235AC0" w:rsidP="00235AC0">
            <w:pPr>
              <w:jc w:val="both"/>
              <w:rPr>
                <w:rFonts w:ascii="Arial" w:eastAsia="Times New Roman" w:hAnsi="Arial" w:cs="Arial"/>
                <w:sz w:val="20"/>
                <w:szCs w:val="20"/>
                <w:lang w:val="es-MX" w:eastAsia="es-MX"/>
              </w:rPr>
            </w:pPr>
            <w:r w:rsidRPr="00235AC0">
              <w:rPr>
                <w:rFonts w:ascii="Arial" w:eastAsia="Times New Roman" w:hAnsi="Arial" w:cs="Arial"/>
                <w:sz w:val="20"/>
                <w:szCs w:val="20"/>
                <w:lang w:val="es-MX" w:eastAsia="es-MX"/>
              </w:rPr>
              <w:t>Los cargos se encuentran en el anexo No. 3 (cuestionario de pólizas para RCSP) La cobertura se extiende a asegurar 11</w:t>
            </w:r>
            <w:r w:rsidRPr="00235AC0">
              <w:rPr>
                <w:rFonts w:ascii="Arial" w:eastAsia="Times New Roman" w:hAnsi="Arial" w:cs="Arial"/>
                <w:b/>
                <w:bCs/>
                <w:color w:val="00B050"/>
                <w:sz w:val="20"/>
                <w:szCs w:val="20"/>
                <w:lang w:val="es-MX" w:eastAsia="es-MX"/>
              </w:rPr>
              <w:t xml:space="preserve"> </w:t>
            </w:r>
            <w:r w:rsidRPr="00235AC0">
              <w:rPr>
                <w:rFonts w:ascii="Arial" w:eastAsia="Times New Roman" w:hAnsi="Arial" w:cs="Arial"/>
                <w:color w:val="000000"/>
                <w:sz w:val="20"/>
                <w:szCs w:val="20"/>
                <w:lang w:val="es-MX" w:eastAsia="es-MX"/>
              </w:rPr>
              <w:t>servidores</w:t>
            </w:r>
            <w:r w:rsidRPr="00235AC0">
              <w:rPr>
                <w:rFonts w:ascii="Arial" w:eastAsia="Times New Roman" w:hAnsi="Arial" w:cs="Arial"/>
                <w:sz w:val="20"/>
                <w:szCs w:val="20"/>
                <w:lang w:val="es-MX" w:eastAsia="es-MX"/>
              </w:rPr>
              <w:t xml:space="preserve"> que tienen a su cargo el manejo, administración y/o custodia de los bienes y fondos de GOBERNACIÓN DE SUCRE sin cobro de prima adicional</w:t>
            </w:r>
          </w:p>
        </w:tc>
      </w:tr>
      <w:tr w:rsidR="00235AC0" w:rsidRPr="00235AC0" w14:paraId="043603BB" w14:textId="77777777" w:rsidTr="00235AC0">
        <w:trPr>
          <w:trHeight w:val="255"/>
        </w:trPr>
        <w:tc>
          <w:tcPr>
            <w:tcW w:w="0" w:type="auto"/>
            <w:tcBorders>
              <w:top w:val="single" w:sz="4" w:space="0" w:color="auto"/>
              <w:left w:val="single" w:sz="4" w:space="0" w:color="auto"/>
              <w:bottom w:val="single" w:sz="4" w:space="0" w:color="auto"/>
              <w:right w:val="single" w:sz="4" w:space="0" w:color="000000"/>
            </w:tcBorders>
            <w:shd w:val="clear" w:color="000000" w:fill="FF0000"/>
            <w:vAlign w:val="bottom"/>
            <w:hideMark/>
          </w:tcPr>
          <w:p w14:paraId="31D2EF60" w14:textId="77777777" w:rsidR="00235AC0" w:rsidRPr="00235AC0" w:rsidRDefault="00235AC0" w:rsidP="00235AC0">
            <w:pPr>
              <w:jc w:val="both"/>
              <w:rPr>
                <w:rFonts w:ascii="Arial" w:eastAsia="Times New Roman" w:hAnsi="Arial" w:cs="Arial"/>
                <w:b/>
                <w:bCs/>
                <w:color w:val="FFFFFF"/>
                <w:sz w:val="20"/>
                <w:szCs w:val="20"/>
                <w:lang w:val="es-MX" w:eastAsia="es-MX"/>
              </w:rPr>
            </w:pPr>
            <w:r w:rsidRPr="00235AC0">
              <w:rPr>
                <w:rFonts w:ascii="Arial" w:eastAsia="Times New Roman" w:hAnsi="Arial" w:cs="Arial"/>
                <w:b/>
                <w:bCs/>
                <w:color w:val="FFFFFF"/>
                <w:sz w:val="20"/>
                <w:szCs w:val="20"/>
                <w:lang w:val="es-MX" w:eastAsia="es-MX"/>
              </w:rPr>
              <w:t>Beneficiarios</w:t>
            </w:r>
          </w:p>
        </w:tc>
      </w:tr>
      <w:tr w:rsidR="00235AC0" w:rsidRPr="00235AC0" w14:paraId="6E67D00C" w14:textId="77777777" w:rsidTr="00235AC0">
        <w:trPr>
          <w:trHeight w:val="390"/>
        </w:trPr>
        <w:tc>
          <w:tcPr>
            <w:tcW w:w="0" w:type="auto"/>
            <w:tcBorders>
              <w:top w:val="single" w:sz="4" w:space="0" w:color="auto"/>
              <w:left w:val="single" w:sz="4" w:space="0" w:color="auto"/>
              <w:bottom w:val="single" w:sz="4" w:space="0" w:color="auto"/>
              <w:right w:val="single" w:sz="4" w:space="0" w:color="000000"/>
            </w:tcBorders>
            <w:vAlign w:val="bottom"/>
            <w:hideMark/>
          </w:tcPr>
          <w:p w14:paraId="2739C5D9" w14:textId="77777777" w:rsidR="00235AC0" w:rsidRPr="00235AC0" w:rsidRDefault="00235AC0" w:rsidP="00235AC0">
            <w:pPr>
              <w:jc w:val="both"/>
              <w:rPr>
                <w:rFonts w:ascii="Arial" w:eastAsia="Times New Roman" w:hAnsi="Arial" w:cs="Arial"/>
                <w:sz w:val="20"/>
                <w:szCs w:val="20"/>
                <w:lang w:val="es-MX" w:eastAsia="es-MX"/>
              </w:rPr>
            </w:pPr>
            <w:r w:rsidRPr="00235AC0">
              <w:rPr>
                <w:rFonts w:ascii="Arial" w:eastAsia="Times New Roman" w:hAnsi="Arial" w:cs="Arial"/>
                <w:sz w:val="20"/>
                <w:szCs w:val="20"/>
                <w:lang w:val="es-MX" w:eastAsia="es-MX"/>
              </w:rPr>
              <w:t>GOBERNACIÓN DE SUCRE y/o Terceros</w:t>
            </w:r>
          </w:p>
        </w:tc>
      </w:tr>
      <w:tr w:rsidR="00235AC0" w:rsidRPr="00235AC0" w14:paraId="26A32910" w14:textId="77777777" w:rsidTr="00235AC0">
        <w:trPr>
          <w:trHeight w:val="255"/>
        </w:trPr>
        <w:tc>
          <w:tcPr>
            <w:tcW w:w="0" w:type="auto"/>
            <w:tcBorders>
              <w:top w:val="single" w:sz="4" w:space="0" w:color="auto"/>
              <w:left w:val="single" w:sz="4" w:space="0" w:color="auto"/>
              <w:bottom w:val="single" w:sz="4" w:space="0" w:color="auto"/>
              <w:right w:val="single" w:sz="4" w:space="0" w:color="000000"/>
            </w:tcBorders>
            <w:shd w:val="clear" w:color="000000" w:fill="FF0000"/>
            <w:vAlign w:val="bottom"/>
            <w:hideMark/>
          </w:tcPr>
          <w:p w14:paraId="1FA561BC" w14:textId="77777777" w:rsidR="00235AC0" w:rsidRPr="00235AC0" w:rsidRDefault="00235AC0" w:rsidP="00235AC0">
            <w:pPr>
              <w:jc w:val="both"/>
              <w:rPr>
                <w:rFonts w:ascii="Arial" w:eastAsia="Times New Roman" w:hAnsi="Arial" w:cs="Arial"/>
                <w:b/>
                <w:bCs/>
                <w:color w:val="FFFFFF"/>
                <w:sz w:val="20"/>
                <w:szCs w:val="20"/>
                <w:lang w:val="es-MX" w:eastAsia="es-MX"/>
              </w:rPr>
            </w:pPr>
            <w:r w:rsidRPr="00235AC0">
              <w:rPr>
                <w:rFonts w:ascii="Arial" w:eastAsia="Times New Roman" w:hAnsi="Arial" w:cs="Arial"/>
                <w:b/>
                <w:bCs/>
                <w:color w:val="FFFFFF"/>
                <w:sz w:val="20"/>
                <w:szCs w:val="20"/>
                <w:lang w:val="es-MX" w:eastAsia="es-MX"/>
              </w:rPr>
              <w:t>Modalidad de Cobertura</w:t>
            </w:r>
          </w:p>
        </w:tc>
      </w:tr>
      <w:tr w:rsidR="00235AC0" w:rsidRPr="00235AC0" w14:paraId="12FA2868" w14:textId="77777777" w:rsidTr="00235AC0">
        <w:trPr>
          <w:trHeight w:val="409"/>
        </w:trPr>
        <w:tc>
          <w:tcPr>
            <w:tcW w:w="0" w:type="auto"/>
            <w:tcBorders>
              <w:top w:val="single" w:sz="4" w:space="0" w:color="auto"/>
              <w:left w:val="single" w:sz="4" w:space="0" w:color="auto"/>
              <w:bottom w:val="single" w:sz="4" w:space="0" w:color="auto"/>
              <w:right w:val="single" w:sz="4" w:space="0" w:color="000000"/>
            </w:tcBorders>
            <w:vAlign w:val="bottom"/>
            <w:hideMark/>
          </w:tcPr>
          <w:p w14:paraId="5C6B1464" w14:textId="170FCBC7" w:rsidR="00235AC0" w:rsidRPr="00235AC0" w:rsidRDefault="00235AC0" w:rsidP="00235AC0">
            <w:pPr>
              <w:jc w:val="both"/>
              <w:rPr>
                <w:rFonts w:ascii="Arial" w:eastAsia="Times New Roman" w:hAnsi="Arial" w:cs="Arial"/>
                <w:sz w:val="20"/>
                <w:szCs w:val="20"/>
                <w:lang w:val="es-MX" w:eastAsia="es-MX"/>
              </w:rPr>
            </w:pPr>
            <w:r w:rsidRPr="00235AC0">
              <w:rPr>
                <w:rFonts w:ascii="Arial" w:eastAsia="Times New Roman" w:hAnsi="Arial" w:cs="Arial"/>
                <w:sz w:val="20"/>
                <w:szCs w:val="20"/>
                <w:lang w:val="es-MX" w:eastAsia="es-MX"/>
              </w:rPr>
              <w:t xml:space="preserve">la cobertura es la </w:t>
            </w:r>
            <w:r w:rsidR="002F0C89" w:rsidRPr="00235AC0">
              <w:rPr>
                <w:rFonts w:ascii="Arial" w:eastAsia="Times New Roman" w:hAnsi="Arial" w:cs="Arial"/>
                <w:sz w:val="20"/>
                <w:szCs w:val="20"/>
                <w:lang w:val="es-MX" w:eastAsia="es-MX"/>
              </w:rPr>
              <w:t>denominada</w:t>
            </w:r>
            <w:r w:rsidRPr="00235AC0">
              <w:rPr>
                <w:rFonts w:ascii="Arial" w:eastAsia="Times New Roman" w:hAnsi="Arial" w:cs="Arial"/>
                <w:sz w:val="20"/>
                <w:szCs w:val="20"/>
                <w:lang w:val="es-MX" w:eastAsia="es-MX"/>
              </w:rPr>
              <w:t xml:space="preserve"> por </w:t>
            </w:r>
            <w:r w:rsidR="002F0C89" w:rsidRPr="00235AC0">
              <w:rPr>
                <w:rFonts w:ascii="Arial" w:eastAsia="Times New Roman" w:hAnsi="Arial" w:cs="Arial"/>
                <w:sz w:val="20"/>
                <w:szCs w:val="20"/>
                <w:lang w:val="es-MX" w:eastAsia="es-MX"/>
              </w:rPr>
              <w:t>reclamación</w:t>
            </w:r>
            <w:r w:rsidRPr="00235AC0">
              <w:rPr>
                <w:rFonts w:ascii="Arial" w:eastAsia="Times New Roman" w:hAnsi="Arial" w:cs="Arial"/>
                <w:sz w:val="20"/>
                <w:szCs w:val="20"/>
                <w:lang w:val="es-MX" w:eastAsia="es-MX"/>
              </w:rPr>
              <w:t xml:space="preserve"> o claims made de acuerdo con el </w:t>
            </w:r>
            <w:r w:rsidR="002F0C89" w:rsidRPr="00235AC0">
              <w:rPr>
                <w:rFonts w:ascii="Arial" w:eastAsia="Times New Roman" w:hAnsi="Arial" w:cs="Arial"/>
                <w:sz w:val="20"/>
                <w:szCs w:val="20"/>
                <w:lang w:val="es-MX" w:eastAsia="es-MX"/>
              </w:rPr>
              <w:t>artículo</w:t>
            </w:r>
            <w:r w:rsidRPr="00235AC0">
              <w:rPr>
                <w:rFonts w:ascii="Arial" w:eastAsia="Times New Roman" w:hAnsi="Arial" w:cs="Arial"/>
                <w:sz w:val="20"/>
                <w:szCs w:val="20"/>
                <w:lang w:val="es-MX" w:eastAsia="es-MX"/>
              </w:rPr>
              <w:t xml:space="preserve"> 4 de la ley 389/94. </w:t>
            </w:r>
          </w:p>
        </w:tc>
      </w:tr>
      <w:tr w:rsidR="00235AC0" w:rsidRPr="00235AC0" w14:paraId="16DC6EDD" w14:textId="77777777" w:rsidTr="00235AC0">
        <w:trPr>
          <w:trHeight w:val="255"/>
        </w:trPr>
        <w:tc>
          <w:tcPr>
            <w:tcW w:w="0" w:type="auto"/>
            <w:tcBorders>
              <w:top w:val="single" w:sz="4" w:space="0" w:color="auto"/>
              <w:left w:val="single" w:sz="4" w:space="0" w:color="auto"/>
              <w:bottom w:val="single" w:sz="4" w:space="0" w:color="auto"/>
              <w:right w:val="single" w:sz="4" w:space="0" w:color="000000"/>
            </w:tcBorders>
            <w:shd w:val="clear" w:color="000000" w:fill="FF0000"/>
            <w:vAlign w:val="bottom"/>
            <w:hideMark/>
          </w:tcPr>
          <w:p w14:paraId="21ECDCB9" w14:textId="77777777" w:rsidR="00235AC0" w:rsidRPr="00235AC0" w:rsidRDefault="00235AC0" w:rsidP="00235AC0">
            <w:pPr>
              <w:jc w:val="both"/>
              <w:rPr>
                <w:rFonts w:ascii="Arial" w:eastAsia="Times New Roman" w:hAnsi="Arial" w:cs="Arial"/>
                <w:b/>
                <w:bCs/>
                <w:color w:val="FFFFFF"/>
                <w:sz w:val="20"/>
                <w:szCs w:val="20"/>
                <w:lang w:val="es-MX" w:eastAsia="es-MX"/>
              </w:rPr>
            </w:pPr>
            <w:r w:rsidRPr="00235AC0">
              <w:rPr>
                <w:rFonts w:ascii="Arial" w:eastAsia="Times New Roman" w:hAnsi="Arial" w:cs="Arial"/>
                <w:b/>
                <w:bCs/>
                <w:color w:val="FFFFFF"/>
                <w:sz w:val="20"/>
                <w:szCs w:val="20"/>
                <w:lang w:val="es-MX" w:eastAsia="es-MX"/>
              </w:rPr>
              <w:t>Jurisdicción</w:t>
            </w:r>
          </w:p>
        </w:tc>
      </w:tr>
      <w:tr w:rsidR="00235AC0" w:rsidRPr="00235AC0" w14:paraId="0D4AD0EA" w14:textId="77777777" w:rsidTr="00235AC0">
        <w:trPr>
          <w:trHeight w:val="255"/>
        </w:trPr>
        <w:tc>
          <w:tcPr>
            <w:tcW w:w="0" w:type="auto"/>
            <w:tcBorders>
              <w:top w:val="single" w:sz="4" w:space="0" w:color="auto"/>
              <w:left w:val="single" w:sz="4" w:space="0" w:color="auto"/>
              <w:bottom w:val="single" w:sz="4" w:space="0" w:color="auto"/>
              <w:right w:val="single" w:sz="4" w:space="0" w:color="000000"/>
            </w:tcBorders>
            <w:vAlign w:val="bottom"/>
            <w:hideMark/>
          </w:tcPr>
          <w:p w14:paraId="2195DCF8" w14:textId="77777777" w:rsidR="00235AC0" w:rsidRPr="00235AC0" w:rsidRDefault="00235AC0" w:rsidP="00235AC0">
            <w:pPr>
              <w:jc w:val="both"/>
              <w:rPr>
                <w:rFonts w:ascii="Arial" w:eastAsia="Times New Roman" w:hAnsi="Arial" w:cs="Arial"/>
                <w:sz w:val="20"/>
                <w:szCs w:val="20"/>
                <w:lang w:val="es-MX" w:eastAsia="es-MX"/>
              </w:rPr>
            </w:pPr>
            <w:r w:rsidRPr="00235AC0">
              <w:rPr>
                <w:rFonts w:ascii="Arial" w:eastAsia="Times New Roman" w:hAnsi="Arial" w:cs="Arial"/>
                <w:sz w:val="20"/>
                <w:szCs w:val="20"/>
                <w:lang w:val="es-MX" w:eastAsia="es-MX"/>
              </w:rPr>
              <w:t>Colombia.</w:t>
            </w:r>
          </w:p>
        </w:tc>
      </w:tr>
      <w:tr w:rsidR="00235AC0" w:rsidRPr="00235AC0" w14:paraId="714023CA" w14:textId="77777777" w:rsidTr="00235AC0">
        <w:trPr>
          <w:trHeight w:val="255"/>
        </w:trPr>
        <w:tc>
          <w:tcPr>
            <w:tcW w:w="0" w:type="auto"/>
            <w:tcBorders>
              <w:top w:val="single" w:sz="4" w:space="0" w:color="auto"/>
              <w:left w:val="single" w:sz="4" w:space="0" w:color="auto"/>
              <w:bottom w:val="single" w:sz="4" w:space="0" w:color="auto"/>
              <w:right w:val="single" w:sz="4" w:space="0" w:color="000000"/>
            </w:tcBorders>
            <w:shd w:val="clear" w:color="000000" w:fill="FF0000"/>
            <w:vAlign w:val="bottom"/>
            <w:hideMark/>
          </w:tcPr>
          <w:p w14:paraId="0A3D6B0A" w14:textId="77777777" w:rsidR="00235AC0" w:rsidRPr="00235AC0" w:rsidRDefault="00235AC0" w:rsidP="00235AC0">
            <w:pPr>
              <w:jc w:val="both"/>
              <w:rPr>
                <w:rFonts w:ascii="Arial" w:eastAsia="Times New Roman" w:hAnsi="Arial" w:cs="Arial"/>
                <w:b/>
                <w:bCs/>
                <w:color w:val="FFFFFF"/>
                <w:sz w:val="20"/>
                <w:szCs w:val="20"/>
                <w:lang w:val="es-MX" w:eastAsia="es-MX"/>
              </w:rPr>
            </w:pPr>
            <w:r w:rsidRPr="00235AC0">
              <w:rPr>
                <w:rFonts w:ascii="Arial" w:eastAsia="Times New Roman" w:hAnsi="Arial" w:cs="Arial"/>
                <w:b/>
                <w:bCs/>
                <w:color w:val="FFFFFF"/>
                <w:sz w:val="20"/>
                <w:szCs w:val="20"/>
                <w:lang w:val="es-MX" w:eastAsia="es-MX"/>
              </w:rPr>
              <w:t>Límite Territorial</w:t>
            </w:r>
          </w:p>
        </w:tc>
      </w:tr>
      <w:tr w:rsidR="00235AC0" w:rsidRPr="00235AC0" w14:paraId="464F0F34" w14:textId="77777777" w:rsidTr="00235AC0">
        <w:trPr>
          <w:trHeight w:val="255"/>
        </w:trPr>
        <w:tc>
          <w:tcPr>
            <w:tcW w:w="0" w:type="auto"/>
            <w:tcBorders>
              <w:top w:val="single" w:sz="4" w:space="0" w:color="auto"/>
              <w:left w:val="single" w:sz="4" w:space="0" w:color="auto"/>
              <w:bottom w:val="single" w:sz="4" w:space="0" w:color="auto"/>
              <w:right w:val="single" w:sz="4" w:space="0" w:color="000000"/>
            </w:tcBorders>
            <w:vAlign w:val="bottom"/>
            <w:hideMark/>
          </w:tcPr>
          <w:p w14:paraId="44A9EF53" w14:textId="507DFEBB" w:rsidR="00235AC0" w:rsidRPr="00235AC0" w:rsidRDefault="00A90686" w:rsidP="00235AC0">
            <w:pPr>
              <w:jc w:val="both"/>
              <w:rPr>
                <w:rFonts w:ascii="Arial" w:eastAsia="Times New Roman" w:hAnsi="Arial" w:cs="Arial"/>
                <w:sz w:val="20"/>
                <w:szCs w:val="20"/>
                <w:lang w:val="es-MX" w:eastAsia="es-MX"/>
              </w:rPr>
            </w:pPr>
            <w:r>
              <w:rPr>
                <w:rFonts w:ascii="Arial" w:eastAsia="Times New Roman" w:hAnsi="Arial" w:cs="Arial"/>
                <w:sz w:val="20"/>
                <w:szCs w:val="20"/>
                <w:lang w:val="es-MX" w:eastAsia="es-MX"/>
              </w:rPr>
              <w:t>TERRITORIO NACIONAL DE COLOMBIA</w:t>
            </w:r>
          </w:p>
        </w:tc>
      </w:tr>
      <w:tr w:rsidR="00235AC0" w:rsidRPr="00235AC0" w14:paraId="473FBA6C" w14:textId="77777777" w:rsidTr="00235AC0">
        <w:trPr>
          <w:trHeight w:val="255"/>
        </w:trPr>
        <w:tc>
          <w:tcPr>
            <w:tcW w:w="0" w:type="auto"/>
            <w:tcBorders>
              <w:top w:val="single" w:sz="4" w:space="0" w:color="auto"/>
              <w:left w:val="single" w:sz="4" w:space="0" w:color="auto"/>
              <w:bottom w:val="single" w:sz="4" w:space="0" w:color="auto"/>
              <w:right w:val="single" w:sz="4" w:space="0" w:color="000000"/>
            </w:tcBorders>
            <w:shd w:val="clear" w:color="000000" w:fill="FF0000"/>
            <w:vAlign w:val="bottom"/>
            <w:hideMark/>
          </w:tcPr>
          <w:p w14:paraId="620725BD" w14:textId="77777777" w:rsidR="00235AC0" w:rsidRPr="00235AC0" w:rsidRDefault="00235AC0" w:rsidP="00235AC0">
            <w:pPr>
              <w:jc w:val="both"/>
              <w:rPr>
                <w:rFonts w:ascii="Arial" w:eastAsia="Times New Roman" w:hAnsi="Arial" w:cs="Arial"/>
                <w:b/>
                <w:bCs/>
                <w:color w:val="FFFFFF"/>
                <w:sz w:val="20"/>
                <w:szCs w:val="20"/>
                <w:lang w:val="es-MX" w:eastAsia="es-MX"/>
              </w:rPr>
            </w:pPr>
            <w:r w:rsidRPr="00235AC0">
              <w:rPr>
                <w:rFonts w:ascii="Arial" w:eastAsia="Times New Roman" w:hAnsi="Arial" w:cs="Arial"/>
                <w:b/>
                <w:bCs/>
                <w:color w:val="FFFFFF"/>
                <w:sz w:val="20"/>
                <w:szCs w:val="20"/>
                <w:lang w:val="es-MX" w:eastAsia="es-MX"/>
              </w:rPr>
              <w:t>Clausulado</w:t>
            </w:r>
          </w:p>
        </w:tc>
      </w:tr>
      <w:tr w:rsidR="00235AC0" w:rsidRPr="00235AC0" w14:paraId="06BA602C" w14:textId="77777777" w:rsidTr="00235AC0">
        <w:trPr>
          <w:trHeight w:val="859"/>
        </w:trPr>
        <w:tc>
          <w:tcPr>
            <w:tcW w:w="0" w:type="auto"/>
            <w:tcBorders>
              <w:top w:val="single" w:sz="4" w:space="0" w:color="auto"/>
              <w:left w:val="single" w:sz="4" w:space="0" w:color="auto"/>
              <w:bottom w:val="single" w:sz="4" w:space="0" w:color="auto"/>
              <w:right w:val="single" w:sz="4" w:space="0" w:color="000000"/>
            </w:tcBorders>
            <w:vAlign w:val="bottom"/>
            <w:hideMark/>
          </w:tcPr>
          <w:p w14:paraId="72DF9740" w14:textId="77777777" w:rsidR="00235AC0" w:rsidRPr="00235AC0" w:rsidRDefault="00235AC0" w:rsidP="00235AC0">
            <w:pPr>
              <w:jc w:val="both"/>
              <w:rPr>
                <w:rFonts w:ascii="Arial" w:eastAsia="Times New Roman" w:hAnsi="Arial" w:cs="Arial"/>
                <w:sz w:val="20"/>
                <w:szCs w:val="20"/>
                <w:lang w:val="es-MX" w:eastAsia="es-MX"/>
              </w:rPr>
            </w:pPr>
            <w:r w:rsidRPr="00235AC0">
              <w:rPr>
                <w:rFonts w:ascii="Arial" w:eastAsia="Times New Roman" w:hAnsi="Arial" w:cs="Arial"/>
                <w:sz w:val="20"/>
                <w:szCs w:val="20"/>
                <w:lang w:val="es-MX" w:eastAsia="es-MX"/>
              </w:rPr>
              <w:t>Clausulado correspondiente a la Póliza de Responsabilidad Civil Servidores Públicos. No se acepta clausulados LSW, ni aquellos que refieran riesgos diferentes al de Responsabilidad Civil Servidores Públicos. No se podrá incluir ni se aceptarán clausulas o anexos que limiten la cobertura según las condiciones particulares aquí solicitadas.</w:t>
            </w:r>
          </w:p>
        </w:tc>
      </w:tr>
      <w:tr w:rsidR="00235AC0" w:rsidRPr="00235AC0" w14:paraId="522A0080" w14:textId="77777777" w:rsidTr="00235AC0">
        <w:trPr>
          <w:trHeight w:val="255"/>
        </w:trPr>
        <w:tc>
          <w:tcPr>
            <w:tcW w:w="0" w:type="auto"/>
            <w:tcBorders>
              <w:top w:val="single" w:sz="4" w:space="0" w:color="auto"/>
              <w:left w:val="single" w:sz="4" w:space="0" w:color="auto"/>
              <w:bottom w:val="single" w:sz="4" w:space="0" w:color="auto"/>
              <w:right w:val="single" w:sz="4" w:space="0" w:color="000000"/>
            </w:tcBorders>
            <w:shd w:val="clear" w:color="000000" w:fill="FF0000"/>
            <w:vAlign w:val="bottom"/>
            <w:hideMark/>
          </w:tcPr>
          <w:p w14:paraId="37083D72" w14:textId="77777777" w:rsidR="00235AC0" w:rsidRPr="00235AC0" w:rsidRDefault="00235AC0" w:rsidP="00235AC0">
            <w:pPr>
              <w:jc w:val="both"/>
              <w:rPr>
                <w:rFonts w:ascii="Arial" w:eastAsia="Times New Roman" w:hAnsi="Arial" w:cs="Arial"/>
                <w:b/>
                <w:bCs/>
                <w:color w:val="FFFFFF"/>
                <w:sz w:val="20"/>
                <w:szCs w:val="20"/>
                <w:lang w:val="es-MX" w:eastAsia="es-MX"/>
              </w:rPr>
            </w:pPr>
            <w:r w:rsidRPr="00235AC0">
              <w:rPr>
                <w:rFonts w:ascii="Arial" w:eastAsia="Times New Roman" w:hAnsi="Arial" w:cs="Arial"/>
                <w:b/>
                <w:bCs/>
                <w:color w:val="FFFFFF"/>
                <w:sz w:val="20"/>
                <w:szCs w:val="20"/>
                <w:lang w:val="es-MX" w:eastAsia="es-MX"/>
              </w:rPr>
              <w:t>Límite Asegurado Anual o para posible prórroga</w:t>
            </w:r>
          </w:p>
        </w:tc>
      </w:tr>
      <w:tr w:rsidR="00235AC0" w:rsidRPr="00235AC0" w14:paraId="3D177592" w14:textId="77777777" w:rsidTr="00235AC0">
        <w:trPr>
          <w:trHeight w:val="492"/>
        </w:trPr>
        <w:tc>
          <w:tcPr>
            <w:tcW w:w="0" w:type="auto"/>
            <w:tcBorders>
              <w:top w:val="single" w:sz="4" w:space="0" w:color="auto"/>
              <w:left w:val="single" w:sz="4" w:space="0" w:color="auto"/>
              <w:bottom w:val="nil"/>
              <w:right w:val="single" w:sz="4" w:space="0" w:color="000000"/>
            </w:tcBorders>
            <w:shd w:val="clear" w:color="000000" w:fill="FFFFFF"/>
            <w:hideMark/>
          </w:tcPr>
          <w:p w14:paraId="30621048"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 xml:space="preserve">• Perjuicios o detrimentos patrimoniales, </w:t>
            </w:r>
            <w:r w:rsidRPr="00235AC0">
              <w:rPr>
                <w:rFonts w:ascii="Arial" w:eastAsia="Times New Roman" w:hAnsi="Arial" w:cs="Arial"/>
                <w:sz w:val="20"/>
                <w:szCs w:val="20"/>
                <w:lang w:val="es-MX" w:eastAsia="es-MX"/>
              </w:rPr>
              <w:t xml:space="preserve">límite Asegurado, </w:t>
            </w:r>
            <w:r w:rsidRPr="00235AC0">
              <w:rPr>
                <w:rFonts w:ascii="Arial" w:eastAsia="Times New Roman" w:hAnsi="Arial" w:cs="Arial"/>
                <w:b/>
                <w:bCs/>
                <w:sz w:val="20"/>
                <w:szCs w:val="20"/>
                <w:lang w:val="es-MX" w:eastAsia="es-MX"/>
              </w:rPr>
              <w:t>$700.000.000</w:t>
            </w:r>
            <w:r w:rsidRPr="00235AC0">
              <w:rPr>
                <w:rFonts w:ascii="Arial" w:eastAsia="Times New Roman" w:hAnsi="Arial" w:cs="Arial"/>
                <w:sz w:val="20"/>
                <w:szCs w:val="20"/>
                <w:lang w:val="es-MX" w:eastAsia="es-MX"/>
              </w:rPr>
              <w:t xml:space="preserve"> evento / agregado anual, combinado con gastos de defensa</w:t>
            </w:r>
          </w:p>
        </w:tc>
      </w:tr>
      <w:tr w:rsidR="00235AC0" w:rsidRPr="00235AC0" w14:paraId="2FE992CB" w14:textId="77777777" w:rsidTr="00235AC0">
        <w:trPr>
          <w:trHeight w:val="1242"/>
        </w:trPr>
        <w:tc>
          <w:tcPr>
            <w:tcW w:w="0" w:type="auto"/>
            <w:tcBorders>
              <w:top w:val="nil"/>
              <w:left w:val="single" w:sz="4" w:space="0" w:color="auto"/>
              <w:bottom w:val="single" w:sz="4" w:space="0" w:color="auto"/>
              <w:right w:val="single" w:sz="4" w:space="0" w:color="000000"/>
            </w:tcBorders>
            <w:hideMark/>
          </w:tcPr>
          <w:p w14:paraId="48062C98" w14:textId="77777777" w:rsidR="00235AC0" w:rsidRPr="00235AC0" w:rsidRDefault="00235AC0" w:rsidP="00235AC0">
            <w:pPr>
              <w:jc w:val="both"/>
              <w:rPr>
                <w:rFonts w:ascii="Arial" w:eastAsia="Times New Roman" w:hAnsi="Arial" w:cs="Arial"/>
                <w:sz w:val="20"/>
                <w:szCs w:val="20"/>
                <w:lang w:val="es-MX" w:eastAsia="es-MX"/>
              </w:rPr>
            </w:pPr>
            <w:r w:rsidRPr="00235AC0">
              <w:rPr>
                <w:rFonts w:ascii="Arial" w:eastAsia="Times New Roman" w:hAnsi="Arial" w:cs="Arial"/>
                <w:sz w:val="20"/>
                <w:szCs w:val="20"/>
                <w:lang w:val="es-MX" w:eastAsia="es-MX"/>
              </w:rPr>
              <w:t>Ampara los perjuicios o detrimentos patrimoniales causados a la GOBERNACIÓN DE SUCRE y/o al Estado, de conformidad con lo previsto en el Articulo 52o de la Ley 1420 y el artículo 56o del Decreto 4803 de 2010, como consecuencia de las decisiones de gestiones incorrectas pero no dolosas, adoptadas y/o ejecutadas o inejecutadas por los Servidores Públicos y/o funcionarios con regimenes de responsabilidad similares a los de los servidores públicos, cuyos cargos esten amparados bajo la presente póliza.</w:t>
            </w:r>
          </w:p>
        </w:tc>
      </w:tr>
      <w:tr w:rsidR="00235AC0" w:rsidRPr="00235AC0" w14:paraId="62B745A1" w14:textId="77777777" w:rsidTr="00235AC0">
        <w:trPr>
          <w:trHeight w:val="420"/>
        </w:trPr>
        <w:tc>
          <w:tcPr>
            <w:tcW w:w="0" w:type="auto"/>
            <w:tcBorders>
              <w:top w:val="single" w:sz="4" w:space="0" w:color="auto"/>
              <w:left w:val="single" w:sz="4" w:space="0" w:color="auto"/>
              <w:bottom w:val="nil"/>
              <w:right w:val="single" w:sz="4" w:space="0" w:color="000000"/>
            </w:tcBorders>
            <w:shd w:val="clear" w:color="000000" w:fill="FFFFFF"/>
            <w:vAlign w:val="bottom"/>
            <w:hideMark/>
          </w:tcPr>
          <w:p w14:paraId="2EB14BD7"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 xml:space="preserve">• Gastos de defensa, Sublímite de $200.000.000, combinado con perjuicios o detrimentos patrimoniales </w:t>
            </w:r>
          </w:p>
        </w:tc>
      </w:tr>
      <w:tr w:rsidR="00235AC0" w:rsidRPr="00235AC0" w14:paraId="418B4F64" w14:textId="77777777" w:rsidTr="00235AC0">
        <w:trPr>
          <w:trHeight w:val="1260"/>
        </w:trPr>
        <w:tc>
          <w:tcPr>
            <w:tcW w:w="0" w:type="auto"/>
            <w:tcBorders>
              <w:top w:val="nil"/>
              <w:left w:val="single" w:sz="4" w:space="0" w:color="auto"/>
              <w:bottom w:val="single" w:sz="4" w:space="0" w:color="auto"/>
              <w:right w:val="single" w:sz="4" w:space="0" w:color="000000"/>
            </w:tcBorders>
            <w:shd w:val="clear" w:color="000000" w:fill="FFFFFF"/>
            <w:vAlign w:val="bottom"/>
            <w:hideMark/>
          </w:tcPr>
          <w:p w14:paraId="2BF7191E" w14:textId="77777777" w:rsidR="00235AC0" w:rsidRPr="00235AC0" w:rsidRDefault="00235AC0" w:rsidP="00235AC0">
            <w:pPr>
              <w:jc w:val="both"/>
              <w:rPr>
                <w:rFonts w:ascii="Arial" w:eastAsia="Times New Roman" w:hAnsi="Arial" w:cs="Arial"/>
                <w:sz w:val="20"/>
                <w:szCs w:val="20"/>
                <w:lang w:val="es-MX" w:eastAsia="es-MX"/>
              </w:rPr>
            </w:pPr>
            <w:r w:rsidRPr="00235AC0">
              <w:rPr>
                <w:rFonts w:ascii="Arial" w:eastAsia="Times New Roman" w:hAnsi="Arial" w:cs="Arial"/>
                <w:sz w:val="20"/>
                <w:szCs w:val="20"/>
                <w:lang w:val="es-MX" w:eastAsia="es-MX"/>
              </w:rPr>
              <w:lastRenderedPageBreak/>
              <w:t xml:space="preserve">Mediante esta cobertura se amparan los Gastos de defensa (honorarios profesionales de abogados defensores y cauciones judiciales) en materia disciplinaria, penal; y fiscal,  de conformidad con lo previsto en el Articulo 52o de la Ley 1420 y el artículo 56o del Decreto 4803 de 2010, según los límites por etapas procesales establecidos en este documento. los gastos u honorarios de defensa operan por reembolso siempre que el servidor público asegurado sea eximido de responsabilidad por conducta dolosa. </w:t>
            </w:r>
          </w:p>
        </w:tc>
      </w:tr>
      <w:tr w:rsidR="00235AC0" w:rsidRPr="00235AC0" w14:paraId="57EFB98C" w14:textId="77777777" w:rsidTr="00235AC0">
        <w:trPr>
          <w:trHeight w:val="255"/>
        </w:trPr>
        <w:tc>
          <w:tcPr>
            <w:tcW w:w="0" w:type="auto"/>
            <w:tcBorders>
              <w:top w:val="single" w:sz="4" w:space="0" w:color="auto"/>
              <w:left w:val="single" w:sz="4" w:space="0" w:color="auto"/>
              <w:bottom w:val="nil"/>
              <w:right w:val="single" w:sz="4" w:space="0" w:color="000000"/>
            </w:tcBorders>
            <w:shd w:val="clear" w:color="000000" w:fill="FFFFFF"/>
            <w:vAlign w:val="bottom"/>
            <w:hideMark/>
          </w:tcPr>
          <w:p w14:paraId="187191B6" w14:textId="77777777" w:rsidR="00235AC0" w:rsidRPr="00235AC0" w:rsidRDefault="00235AC0" w:rsidP="00235AC0">
            <w:pPr>
              <w:jc w:val="both"/>
              <w:rPr>
                <w:rFonts w:ascii="Arial" w:eastAsia="Times New Roman" w:hAnsi="Arial" w:cs="Arial"/>
                <w:b/>
                <w:bCs/>
                <w:color w:val="000000"/>
                <w:sz w:val="20"/>
                <w:szCs w:val="20"/>
                <w:lang w:val="es-MX" w:eastAsia="es-MX"/>
              </w:rPr>
            </w:pPr>
            <w:r w:rsidRPr="00235AC0">
              <w:rPr>
                <w:rFonts w:ascii="Arial" w:eastAsia="Times New Roman" w:hAnsi="Arial" w:cs="Arial"/>
                <w:b/>
                <w:bCs/>
                <w:color w:val="000000"/>
                <w:sz w:val="20"/>
                <w:szCs w:val="20"/>
                <w:lang w:val="es-MX" w:eastAsia="es-MX"/>
              </w:rPr>
              <w:t>NOTA:</w:t>
            </w:r>
          </w:p>
        </w:tc>
      </w:tr>
      <w:tr w:rsidR="00235AC0" w:rsidRPr="00235AC0" w14:paraId="0DFB388F" w14:textId="77777777" w:rsidTr="00235AC0">
        <w:trPr>
          <w:trHeight w:val="555"/>
        </w:trPr>
        <w:tc>
          <w:tcPr>
            <w:tcW w:w="0" w:type="auto"/>
            <w:tcBorders>
              <w:top w:val="nil"/>
              <w:left w:val="single" w:sz="4" w:space="0" w:color="auto"/>
              <w:bottom w:val="single" w:sz="4" w:space="0" w:color="auto"/>
              <w:right w:val="single" w:sz="4" w:space="0" w:color="000000"/>
            </w:tcBorders>
            <w:vAlign w:val="bottom"/>
            <w:hideMark/>
          </w:tcPr>
          <w:p w14:paraId="22AE262C" w14:textId="77777777" w:rsidR="00235AC0" w:rsidRPr="00235AC0" w:rsidRDefault="00235AC0" w:rsidP="00235AC0">
            <w:pPr>
              <w:jc w:val="both"/>
              <w:rPr>
                <w:rFonts w:ascii="Arial" w:eastAsia="Times New Roman" w:hAnsi="Arial" w:cs="Arial"/>
                <w:sz w:val="20"/>
                <w:szCs w:val="20"/>
                <w:lang w:val="es-MX" w:eastAsia="es-MX"/>
              </w:rPr>
            </w:pPr>
            <w:r w:rsidRPr="00235AC0">
              <w:rPr>
                <w:rFonts w:ascii="Arial" w:eastAsia="Times New Roman" w:hAnsi="Arial" w:cs="Arial"/>
                <w:sz w:val="20"/>
                <w:szCs w:val="20"/>
                <w:lang w:val="es-MX" w:eastAsia="es-MX"/>
              </w:rPr>
              <w:t>Se califica en condiciones complementarias, el ofrecimiento de límites de valores asegurados superiores a los básicos exigidos para las coberturas básicas de perjuicios o detrimentos patrimoniales y/o gastos de defensa, antes indicados.</w:t>
            </w:r>
          </w:p>
        </w:tc>
      </w:tr>
      <w:tr w:rsidR="00235AC0" w:rsidRPr="00235AC0" w14:paraId="42F75126" w14:textId="77777777" w:rsidTr="00235AC0">
        <w:trPr>
          <w:trHeight w:val="660"/>
        </w:trPr>
        <w:tc>
          <w:tcPr>
            <w:tcW w:w="0" w:type="auto"/>
            <w:tcBorders>
              <w:top w:val="nil"/>
              <w:left w:val="single" w:sz="4" w:space="0" w:color="auto"/>
              <w:bottom w:val="single" w:sz="4" w:space="0" w:color="auto"/>
              <w:right w:val="single" w:sz="4" w:space="0" w:color="000000"/>
            </w:tcBorders>
            <w:shd w:val="clear" w:color="000000" w:fill="FFFFFF"/>
            <w:vAlign w:val="bottom"/>
            <w:hideMark/>
          </w:tcPr>
          <w:p w14:paraId="79B57FDE" w14:textId="77777777" w:rsidR="00235AC0" w:rsidRPr="00235AC0" w:rsidRDefault="00235AC0" w:rsidP="00235AC0">
            <w:pPr>
              <w:jc w:val="both"/>
              <w:rPr>
                <w:rFonts w:ascii="Arial" w:eastAsia="Times New Roman" w:hAnsi="Arial" w:cs="Arial"/>
                <w:sz w:val="20"/>
                <w:szCs w:val="20"/>
                <w:lang w:val="es-MX" w:eastAsia="es-MX"/>
              </w:rPr>
            </w:pPr>
            <w:r w:rsidRPr="00235AC0">
              <w:rPr>
                <w:rFonts w:ascii="Arial" w:eastAsia="Times New Roman" w:hAnsi="Arial" w:cs="Arial"/>
                <w:sz w:val="20"/>
                <w:szCs w:val="20"/>
                <w:lang w:val="es-MX" w:eastAsia="es-MX"/>
              </w:rPr>
              <w:t>Gastos de defensa por cada investigado asegurado: $20.000.000 persona en cada proceso, $60.000.000 por persona en la vigencia $90.000.000 por evento y $200.000.000 en el agredado anual.</w:t>
            </w:r>
          </w:p>
        </w:tc>
      </w:tr>
      <w:tr w:rsidR="00235AC0" w:rsidRPr="00235AC0" w14:paraId="4A0FB42B" w14:textId="77777777" w:rsidTr="00235AC0">
        <w:trPr>
          <w:trHeight w:val="1429"/>
        </w:trPr>
        <w:tc>
          <w:tcPr>
            <w:tcW w:w="0" w:type="auto"/>
            <w:tcBorders>
              <w:top w:val="single" w:sz="4" w:space="0" w:color="auto"/>
              <w:left w:val="single" w:sz="4" w:space="0" w:color="auto"/>
              <w:bottom w:val="single" w:sz="4" w:space="0" w:color="auto"/>
              <w:right w:val="single" w:sz="4" w:space="0" w:color="000000"/>
            </w:tcBorders>
            <w:shd w:val="clear" w:color="000000" w:fill="FFFFFF"/>
            <w:vAlign w:val="bottom"/>
            <w:hideMark/>
          </w:tcPr>
          <w:p w14:paraId="24F0EF0E"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 xml:space="preserve">Costos generados para constitución de cauciones judiciales. </w:t>
            </w:r>
            <w:r w:rsidRPr="00235AC0">
              <w:rPr>
                <w:rFonts w:ascii="Arial" w:eastAsia="Times New Roman" w:hAnsi="Arial" w:cs="Arial"/>
                <w:sz w:val="20"/>
                <w:szCs w:val="20"/>
                <w:lang w:val="es-MX" w:eastAsia="es-MX"/>
              </w:rPr>
              <w:t>Se cubren las cauciones judiciales que deba pagar el Asegurado con ocasión de cualquier Reclamación/ Investigación, sujeto a los límites establecidos en la póliza. No hacen parte del sublímite de gastos de defensa. Sublímite por evento $10.000.000 (todas las reclamaciones originadas en un mismo acto culposo) y por vigencia $20.000.000, en el agregado anual o para posible prórroga. (Se aclara que la constitución de cauciones corresponde al rembolso de la prima para la constitución de la cauciòn. la compañía no estára obligada a otorgar dicha caución).</w:t>
            </w:r>
          </w:p>
        </w:tc>
      </w:tr>
      <w:tr w:rsidR="00235AC0" w:rsidRPr="00235AC0" w14:paraId="56F9E4DE" w14:textId="77777777" w:rsidTr="00235AC0">
        <w:trPr>
          <w:trHeight w:val="255"/>
        </w:trPr>
        <w:tc>
          <w:tcPr>
            <w:tcW w:w="0" w:type="auto"/>
            <w:tcBorders>
              <w:top w:val="single" w:sz="4" w:space="0" w:color="auto"/>
              <w:left w:val="single" w:sz="4" w:space="0" w:color="auto"/>
              <w:bottom w:val="single" w:sz="4" w:space="0" w:color="auto"/>
              <w:right w:val="single" w:sz="4" w:space="0" w:color="000000"/>
            </w:tcBorders>
            <w:shd w:val="clear" w:color="000000" w:fill="FF0000"/>
            <w:vAlign w:val="bottom"/>
            <w:hideMark/>
          </w:tcPr>
          <w:p w14:paraId="577FA56B" w14:textId="77777777" w:rsidR="00235AC0" w:rsidRPr="00235AC0" w:rsidRDefault="00235AC0" w:rsidP="00235AC0">
            <w:pPr>
              <w:jc w:val="both"/>
              <w:rPr>
                <w:rFonts w:ascii="Arial" w:eastAsia="Times New Roman" w:hAnsi="Arial" w:cs="Arial"/>
                <w:b/>
                <w:bCs/>
                <w:color w:val="FFFFFF"/>
                <w:sz w:val="20"/>
                <w:szCs w:val="20"/>
                <w:lang w:val="es-MX" w:eastAsia="es-MX"/>
              </w:rPr>
            </w:pPr>
            <w:r w:rsidRPr="00235AC0">
              <w:rPr>
                <w:rFonts w:ascii="Arial" w:eastAsia="Times New Roman" w:hAnsi="Arial" w:cs="Arial"/>
                <w:b/>
                <w:bCs/>
                <w:color w:val="FFFFFF"/>
                <w:sz w:val="20"/>
                <w:szCs w:val="20"/>
                <w:lang w:val="es-MX" w:eastAsia="es-MX"/>
              </w:rPr>
              <w:t>Coberturas básicas obligatorias</w:t>
            </w:r>
          </w:p>
        </w:tc>
      </w:tr>
      <w:tr w:rsidR="00235AC0" w:rsidRPr="00235AC0" w14:paraId="390FDDBC" w14:textId="77777777" w:rsidTr="00235AC0">
        <w:trPr>
          <w:trHeight w:val="1200"/>
        </w:trPr>
        <w:tc>
          <w:tcPr>
            <w:tcW w:w="0" w:type="auto"/>
            <w:tcBorders>
              <w:top w:val="single" w:sz="4" w:space="0" w:color="auto"/>
              <w:left w:val="single" w:sz="4" w:space="0" w:color="auto"/>
              <w:bottom w:val="single" w:sz="4" w:space="0" w:color="auto"/>
              <w:right w:val="single" w:sz="4" w:space="0" w:color="000000"/>
            </w:tcBorders>
            <w:vAlign w:val="bottom"/>
            <w:hideMark/>
          </w:tcPr>
          <w:p w14:paraId="4BCE012C" w14:textId="77777777" w:rsidR="00235AC0" w:rsidRPr="00235AC0" w:rsidRDefault="00235AC0" w:rsidP="00235AC0">
            <w:pPr>
              <w:jc w:val="both"/>
              <w:rPr>
                <w:rFonts w:ascii="Arial" w:eastAsia="Times New Roman" w:hAnsi="Arial" w:cs="Arial"/>
                <w:sz w:val="20"/>
                <w:szCs w:val="20"/>
                <w:lang w:val="es-MX" w:eastAsia="es-MX"/>
              </w:rPr>
            </w:pPr>
            <w:r w:rsidRPr="00235AC0">
              <w:rPr>
                <w:rFonts w:ascii="Arial" w:eastAsia="Times New Roman" w:hAnsi="Arial" w:cs="Arial"/>
                <w:b/>
                <w:bCs/>
                <w:sz w:val="20"/>
                <w:szCs w:val="20"/>
                <w:lang w:val="es-MX" w:eastAsia="es-MX"/>
              </w:rPr>
              <w:t>Responsabilidad de los  Asegurados</w:t>
            </w:r>
            <w:r w:rsidRPr="00235AC0">
              <w:rPr>
                <w:rFonts w:ascii="Arial" w:eastAsia="Times New Roman" w:hAnsi="Arial" w:cs="Arial"/>
                <w:sz w:val="20"/>
                <w:szCs w:val="20"/>
                <w:lang w:val="es-MX" w:eastAsia="es-MX"/>
              </w:rPr>
              <w:t xml:space="preserve">. Amparar los perjuicios ocasionados a la GOBERNACIÓN DE SUCRE y/o Terceros, a consecuencia de acciones u omisiones culposas imputables a uno o varios funcionarios que ocupen los cargos Asegurados. La cobertura otorgada se hace extensiva a los perjuicios por los que los asegurados se les siga o debiera seguir cualquier tipo de proceso o corresponda a acción de repetición o de llamamiento en garantía con fines de repetición por culpa grave. </w:t>
            </w:r>
          </w:p>
        </w:tc>
      </w:tr>
      <w:tr w:rsidR="00235AC0" w:rsidRPr="00235AC0" w14:paraId="761907C8" w14:textId="77777777" w:rsidTr="00235AC0">
        <w:trPr>
          <w:trHeight w:val="645"/>
        </w:trPr>
        <w:tc>
          <w:tcPr>
            <w:tcW w:w="0" w:type="auto"/>
            <w:tcBorders>
              <w:top w:val="single" w:sz="4" w:space="0" w:color="auto"/>
              <w:left w:val="single" w:sz="4" w:space="0" w:color="auto"/>
              <w:bottom w:val="single" w:sz="4" w:space="0" w:color="auto"/>
              <w:right w:val="single" w:sz="4" w:space="0" w:color="000000"/>
            </w:tcBorders>
            <w:vAlign w:val="bottom"/>
            <w:hideMark/>
          </w:tcPr>
          <w:p w14:paraId="30BA4C97"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Cobertura para cónyuge y herederos.</w:t>
            </w:r>
            <w:r w:rsidRPr="00235AC0">
              <w:rPr>
                <w:rFonts w:ascii="Arial" w:eastAsia="Times New Roman" w:hAnsi="Arial" w:cs="Arial"/>
                <w:sz w:val="20"/>
                <w:szCs w:val="20"/>
                <w:lang w:val="es-MX" w:eastAsia="es-MX"/>
              </w:rPr>
              <w:t xml:space="preserve"> Se ampara la responsabilidad de los Cargos Asegurados a cónyuges o herederos, como consecuencia de la muerte o incapacidad, inhabilidad o quiebra del Asegurado.</w:t>
            </w:r>
          </w:p>
        </w:tc>
      </w:tr>
      <w:tr w:rsidR="00235AC0" w:rsidRPr="00235AC0" w14:paraId="455A7877" w14:textId="77777777" w:rsidTr="00235AC0">
        <w:trPr>
          <w:trHeight w:val="990"/>
        </w:trPr>
        <w:tc>
          <w:tcPr>
            <w:tcW w:w="0" w:type="auto"/>
            <w:tcBorders>
              <w:top w:val="single" w:sz="4" w:space="0" w:color="auto"/>
              <w:left w:val="single" w:sz="4" w:space="0" w:color="auto"/>
              <w:bottom w:val="single" w:sz="4" w:space="0" w:color="auto"/>
              <w:right w:val="single" w:sz="4" w:space="0" w:color="000000"/>
            </w:tcBorders>
            <w:vAlign w:val="bottom"/>
            <w:hideMark/>
          </w:tcPr>
          <w:p w14:paraId="394C7613"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 xml:space="preserve">Cobertura de Reclamación Laboral. </w:t>
            </w:r>
            <w:r w:rsidRPr="00235AC0">
              <w:rPr>
                <w:rFonts w:ascii="Arial" w:eastAsia="Times New Roman" w:hAnsi="Arial" w:cs="Arial"/>
                <w:sz w:val="20"/>
                <w:szCs w:val="20"/>
                <w:lang w:val="es-MX" w:eastAsia="es-MX"/>
              </w:rPr>
              <w:t>Se cubren las Reclamaciones Laborales, entendiendo por éstas aquellas notificadas contra cualquier Asegurado o en nombre de cualquier Asegurado como consecuencia real o supuesta de despido ilegal, discriminación o maltrato por razones de raza, edad, sexo o religión, maltrato laboral, persecución laboral, inequidad laboral, desprotección laboral y cualquier otra modalidad de acoso laborar al tenor de lo establecido en la ley 1010 de 2006 o en las normas que la modifiquen o adicionen.  No constituyen reclamaciones de caracter laboral amparadas bajo la presente póliza, las que tengan por objeto el reconocimiento de salarios, prestaciones, indemnizaciones y demás retribuciones o compensaciones de carácter económico emanadas de un contrato de trabajo.</w:t>
            </w:r>
          </w:p>
        </w:tc>
      </w:tr>
      <w:tr w:rsidR="00235AC0" w:rsidRPr="00235AC0" w14:paraId="4970737A" w14:textId="77777777" w:rsidTr="00235AC0">
        <w:trPr>
          <w:trHeight w:val="919"/>
        </w:trPr>
        <w:tc>
          <w:tcPr>
            <w:tcW w:w="0" w:type="auto"/>
            <w:tcBorders>
              <w:top w:val="single" w:sz="4" w:space="0" w:color="auto"/>
              <w:left w:val="single" w:sz="4" w:space="0" w:color="auto"/>
              <w:bottom w:val="single" w:sz="4" w:space="0" w:color="auto"/>
              <w:right w:val="single" w:sz="4" w:space="0" w:color="000000"/>
            </w:tcBorders>
            <w:vAlign w:val="bottom"/>
            <w:hideMark/>
          </w:tcPr>
          <w:p w14:paraId="3ACC4499"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Modificación de Cargos Asegurados. Los cambios de denominación de los Cargos Asegurados, no modificarán la cobertura inicialmente otorgada, salvo que GOBERNACIÓN DE SUCRE expresamente solicite su exclusión de la póliza, siempre y cuando desempeñen las mismas o similares funciones a las antiguas denominaciones.</w:t>
            </w:r>
          </w:p>
        </w:tc>
      </w:tr>
      <w:tr w:rsidR="00235AC0" w:rsidRPr="00235AC0" w14:paraId="12B05843" w14:textId="77777777" w:rsidTr="00235AC0">
        <w:trPr>
          <w:trHeight w:val="840"/>
        </w:trPr>
        <w:tc>
          <w:tcPr>
            <w:tcW w:w="0" w:type="auto"/>
            <w:tcBorders>
              <w:top w:val="single" w:sz="4" w:space="0" w:color="auto"/>
              <w:left w:val="single" w:sz="4" w:space="0" w:color="auto"/>
              <w:bottom w:val="single" w:sz="4" w:space="0" w:color="auto"/>
              <w:right w:val="single" w:sz="4" w:space="0" w:color="000000"/>
            </w:tcBorders>
            <w:vAlign w:val="bottom"/>
            <w:hideMark/>
          </w:tcPr>
          <w:p w14:paraId="7A0AFD9D"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Ampliación aviso de siniestro</w:t>
            </w:r>
            <w:r w:rsidRPr="00235AC0">
              <w:rPr>
                <w:rFonts w:ascii="Arial" w:eastAsia="Times New Roman" w:hAnsi="Arial" w:cs="Arial"/>
                <w:sz w:val="20"/>
                <w:szCs w:val="20"/>
                <w:lang w:val="es-MX" w:eastAsia="es-MX"/>
              </w:rPr>
              <w:t>. El Oferente debe contemplar la extensión del término de aviso de la ocurrencia del siniestro, por parte del asegurado, dentro de los treinta (30) días siguientes a la fecha en que lo haya conocido o debido conocer.</w:t>
            </w:r>
          </w:p>
        </w:tc>
      </w:tr>
      <w:tr w:rsidR="00235AC0" w:rsidRPr="00235AC0" w14:paraId="5BBB38A0" w14:textId="77777777" w:rsidTr="00235AC0">
        <w:trPr>
          <w:trHeight w:val="960"/>
        </w:trPr>
        <w:tc>
          <w:tcPr>
            <w:tcW w:w="0" w:type="auto"/>
            <w:tcBorders>
              <w:top w:val="single" w:sz="4" w:space="0" w:color="auto"/>
              <w:left w:val="single" w:sz="4" w:space="0" w:color="auto"/>
              <w:bottom w:val="single" w:sz="4" w:space="0" w:color="auto"/>
              <w:right w:val="single" w:sz="4" w:space="0" w:color="000000"/>
            </w:tcBorders>
            <w:vAlign w:val="bottom"/>
            <w:hideMark/>
          </w:tcPr>
          <w:p w14:paraId="1236CF4B" w14:textId="55B38252"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 xml:space="preserve">Conocimiento del riesgo. </w:t>
            </w:r>
            <w:r w:rsidRPr="00235AC0">
              <w:rPr>
                <w:rFonts w:ascii="Arial" w:eastAsia="Times New Roman" w:hAnsi="Arial" w:cs="Arial"/>
                <w:sz w:val="20"/>
                <w:szCs w:val="20"/>
                <w:lang w:val="es-MX" w:eastAsia="es-MX"/>
              </w:rPr>
              <w:t>La Aseguradora manifiesta que conoce el riesgo y que partiendo de esta base ha hecho la tasación y ha establecido los términos y condiciones para la presentación de su propuesta y posterior contratación de la cobertura, por consiguiente deja constancia del conocimiento y aceptación de los riesgos, las circunstancias y condiciones de los mismos.</w:t>
            </w:r>
          </w:p>
        </w:tc>
      </w:tr>
      <w:tr w:rsidR="00235AC0" w:rsidRPr="00235AC0" w14:paraId="77E7959F" w14:textId="77777777" w:rsidTr="00235AC0">
        <w:trPr>
          <w:trHeight w:val="720"/>
        </w:trPr>
        <w:tc>
          <w:tcPr>
            <w:tcW w:w="0" w:type="auto"/>
            <w:tcBorders>
              <w:top w:val="single" w:sz="4" w:space="0" w:color="auto"/>
              <w:left w:val="single" w:sz="4" w:space="0" w:color="auto"/>
              <w:bottom w:val="single" w:sz="4" w:space="0" w:color="auto"/>
              <w:right w:val="single" w:sz="4" w:space="0" w:color="000000"/>
            </w:tcBorders>
            <w:vAlign w:val="bottom"/>
            <w:hideMark/>
          </w:tcPr>
          <w:p w14:paraId="38783DCC" w14:textId="7765BB1B"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lastRenderedPageBreak/>
              <w:t>Definición de evento.</w:t>
            </w:r>
            <w:r w:rsidRPr="00235AC0">
              <w:rPr>
                <w:rFonts w:ascii="Arial" w:eastAsia="Times New Roman" w:hAnsi="Arial" w:cs="Arial"/>
                <w:sz w:val="20"/>
                <w:szCs w:val="20"/>
                <w:lang w:val="es-MX" w:eastAsia="es-MX"/>
              </w:rPr>
              <w:t xml:space="preserve"> Se entiende por evento una sola reclamación por una misma causa o acto incorrecto, en donde pueden estar comprometidos varios servidores públicos asegurados.</w:t>
            </w:r>
          </w:p>
        </w:tc>
      </w:tr>
      <w:tr w:rsidR="00235AC0" w:rsidRPr="00235AC0" w14:paraId="34669FC2" w14:textId="77777777" w:rsidTr="00235AC0">
        <w:trPr>
          <w:trHeight w:val="915"/>
        </w:trPr>
        <w:tc>
          <w:tcPr>
            <w:tcW w:w="0" w:type="auto"/>
            <w:tcBorders>
              <w:top w:val="single" w:sz="4" w:space="0" w:color="auto"/>
              <w:left w:val="single" w:sz="4" w:space="0" w:color="auto"/>
              <w:bottom w:val="single" w:sz="4" w:space="0" w:color="auto"/>
              <w:right w:val="single" w:sz="4" w:space="0" w:color="000000"/>
            </w:tcBorders>
            <w:vAlign w:val="bottom"/>
            <w:hideMark/>
          </w:tcPr>
          <w:p w14:paraId="0A63DECA" w14:textId="0EAF553D"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Definición de Proceso.</w:t>
            </w:r>
            <w:r w:rsidRPr="00235AC0">
              <w:rPr>
                <w:rFonts w:ascii="Arial" w:eastAsia="Times New Roman" w:hAnsi="Arial" w:cs="Arial"/>
                <w:sz w:val="20"/>
                <w:szCs w:val="20"/>
                <w:lang w:val="es-MX" w:eastAsia="es-MX"/>
              </w:rPr>
              <w:t xml:space="preserve"> Se entiende por proceso cada actuación iniciada por un organismo de control o por una autoridad competente contra uno o varios cargos asegurados.</w:t>
            </w:r>
          </w:p>
        </w:tc>
      </w:tr>
      <w:tr w:rsidR="00235AC0" w:rsidRPr="00235AC0" w14:paraId="3B20AA4C" w14:textId="77777777" w:rsidTr="00235AC0">
        <w:trPr>
          <w:trHeight w:val="750"/>
        </w:trPr>
        <w:tc>
          <w:tcPr>
            <w:tcW w:w="0" w:type="auto"/>
            <w:tcBorders>
              <w:top w:val="single" w:sz="4" w:space="0" w:color="auto"/>
              <w:left w:val="single" w:sz="4" w:space="0" w:color="auto"/>
              <w:bottom w:val="single" w:sz="4" w:space="0" w:color="auto"/>
              <w:right w:val="single" w:sz="4" w:space="0" w:color="000000"/>
            </w:tcBorders>
            <w:vAlign w:val="bottom"/>
            <w:hideMark/>
          </w:tcPr>
          <w:p w14:paraId="600BAE0A"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 xml:space="preserve">Siniestro: </w:t>
            </w:r>
            <w:r w:rsidRPr="00235AC0">
              <w:rPr>
                <w:rFonts w:ascii="Arial" w:eastAsia="Times New Roman" w:hAnsi="Arial" w:cs="Arial"/>
                <w:sz w:val="20"/>
                <w:szCs w:val="20"/>
                <w:lang w:val="es-MX" w:eastAsia="es-MX"/>
              </w:rPr>
              <w:t>De acuerdo con el tipo de proceso, el siniestro se entenderá a partir del auto de apertura del proceso.</w:t>
            </w:r>
          </w:p>
        </w:tc>
      </w:tr>
      <w:tr w:rsidR="00235AC0" w:rsidRPr="00235AC0" w14:paraId="6B109CBC" w14:textId="77777777" w:rsidTr="00235AC0">
        <w:trPr>
          <w:trHeight w:val="780"/>
        </w:trPr>
        <w:tc>
          <w:tcPr>
            <w:tcW w:w="0" w:type="auto"/>
            <w:tcBorders>
              <w:top w:val="single" w:sz="4" w:space="0" w:color="auto"/>
              <w:left w:val="single" w:sz="4" w:space="0" w:color="auto"/>
              <w:bottom w:val="single" w:sz="4" w:space="0" w:color="auto"/>
              <w:right w:val="single" w:sz="4" w:space="0" w:color="000000"/>
            </w:tcBorders>
            <w:shd w:val="clear" w:color="000000" w:fill="FF0000"/>
            <w:vAlign w:val="bottom"/>
            <w:hideMark/>
          </w:tcPr>
          <w:p w14:paraId="6F31F854" w14:textId="77777777" w:rsidR="00235AC0" w:rsidRPr="00235AC0" w:rsidRDefault="00235AC0" w:rsidP="00235AC0">
            <w:pPr>
              <w:jc w:val="both"/>
              <w:rPr>
                <w:rFonts w:ascii="Arial" w:eastAsia="Times New Roman" w:hAnsi="Arial" w:cs="Arial"/>
                <w:b/>
                <w:bCs/>
                <w:color w:val="FFFFFF"/>
                <w:sz w:val="20"/>
                <w:szCs w:val="20"/>
                <w:lang w:val="es-MX" w:eastAsia="es-MX"/>
              </w:rPr>
            </w:pPr>
            <w:r w:rsidRPr="00235AC0">
              <w:rPr>
                <w:rFonts w:ascii="Arial" w:eastAsia="Times New Roman" w:hAnsi="Arial" w:cs="Arial"/>
                <w:b/>
                <w:bCs/>
                <w:color w:val="FFFFFF"/>
                <w:sz w:val="20"/>
                <w:szCs w:val="20"/>
                <w:lang w:val="es-MX" w:eastAsia="es-MX"/>
              </w:rPr>
              <w:t>Cláusulas y/o condiciones adicionales.</w:t>
            </w:r>
          </w:p>
        </w:tc>
      </w:tr>
      <w:tr w:rsidR="00235AC0" w:rsidRPr="00235AC0" w14:paraId="48332D87" w14:textId="77777777" w:rsidTr="00235AC0">
        <w:trPr>
          <w:trHeight w:val="495"/>
        </w:trPr>
        <w:tc>
          <w:tcPr>
            <w:tcW w:w="0" w:type="auto"/>
            <w:tcBorders>
              <w:top w:val="single" w:sz="4" w:space="0" w:color="auto"/>
              <w:left w:val="single" w:sz="4" w:space="0" w:color="auto"/>
              <w:bottom w:val="single" w:sz="4" w:space="0" w:color="auto"/>
              <w:right w:val="single" w:sz="4" w:space="0" w:color="000000"/>
            </w:tcBorders>
            <w:vAlign w:val="bottom"/>
            <w:hideMark/>
          </w:tcPr>
          <w:p w14:paraId="7759B9A0"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Para aquellas cláusulas y/o condiciones adicionales para las que no se indique sublímite se entenderá que estas operan al 100%.</w:t>
            </w:r>
          </w:p>
        </w:tc>
      </w:tr>
      <w:tr w:rsidR="00235AC0" w:rsidRPr="00235AC0" w14:paraId="6D0AAC52" w14:textId="77777777" w:rsidTr="00235AC0">
        <w:trPr>
          <w:trHeight w:val="255"/>
        </w:trPr>
        <w:tc>
          <w:tcPr>
            <w:tcW w:w="0" w:type="auto"/>
            <w:tcBorders>
              <w:top w:val="single" w:sz="4" w:space="0" w:color="auto"/>
              <w:left w:val="single" w:sz="4" w:space="0" w:color="auto"/>
              <w:bottom w:val="single" w:sz="4" w:space="0" w:color="auto"/>
              <w:right w:val="single" w:sz="4" w:space="0" w:color="000000"/>
            </w:tcBorders>
            <w:vAlign w:val="bottom"/>
            <w:hideMark/>
          </w:tcPr>
          <w:p w14:paraId="6E667E5D" w14:textId="53266D13"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 xml:space="preserve">Cláusula de aplicación de condiciones particulares. </w:t>
            </w:r>
            <w:r w:rsidRPr="00235AC0">
              <w:rPr>
                <w:rFonts w:ascii="Arial" w:eastAsia="Times New Roman" w:hAnsi="Arial" w:cs="Arial"/>
                <w:sz w:val="20"/>
                <w:szCs w:val="20"/>
                <w:lang w:val="es-MX" w:eastAsia="es-MX"/>
              </w:rPr>
              <w:t>Queda expresamente acordado y convenido, que la Compañía acepta las condiciones básicas técnicas establecidas en este anexo en los términos señalados en el mismo; por lo tanto, en caso de existir discrepancia entre los ofrecimientos contenidos en las CONDICIONES BÁSICAS TÉCNICAS OBLIGATORIAS frente a la propuesta, los textos de los ejemplares de las pólizas, certificados, anexos o cualquier otro documento; prevalecerá la información y condiciones enunciadas en las CONDICIONES BÁSICAS TÉCNICAS OBLIGATORIAS establecidas</w:t>
            </w:r>
            <w:r w:rsidRPr="00235AC0">
              <w:rPr>
                <w:rFonts w:ascii="Arial" w:eastAsia="Times New Roman" w:hAnsi="Arial" w:cs="Arial"/>
                <w:b/>
                <w:bCs/>
                <w:sz w:val="20"/>
                <w:szCs w:val="20"/>
                <w:lang w:val="es-MX" w:eastAsia="es-MX"/>
              </w:rPr>
              <w:t>.</w:t>
            </w:r>
          </w:p>
        </w:tc>
      </w:tr>
      <w:tr w:rsidR="00235AC0" w:rsidRPr="00235AC0" w14:paraId="02E69D71" w14:textId="77777777" w:rsidTr="00235AC0">
        <w:trPr>
          <w:trHeight w:val="2010"/>
        </w:trPr>
        <w:tc>
          <w:tcPr>
            <w:tcW w:w="0" w:type="auto"/>
            <w:tcBorders>
              <w:top w:val="single" w:sz="4" w:space="0" w:color="auto"/>
              <w:left w:val="single" w:sz="4" w:space="0" w:color="auto"/>
              <w:bottom w:val="single" w:sz="4" w:space="0" w:color="auto"/>
              <w:right w:val="single" w:sz="4" w:space="0" w:color="000000"/>
            </w:tcBorders>
            <w:vAlign w:val="bottom"/>
            <w:hideMark/>
          </w:tcPr>
          <w:p w14:paraId="4D81AD6A"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Claúsula de Arbitramento</w:t>
            </w:r>
            <w:r w:rsidRPr="00235AC0">
              <w:rPr>
                <w:rFonts w:ascii="Arial" w:eastAsia="Times New Roman" w:hAnsi="Arial" w:cs="Arial"/>
                <w:sz w:val="20"/>
                <w:szCs w:val="20"/>
                <w:lang w:val="es-MX" w:eastAsia="es-MX"/>
              </w:rPr>
              <w:t>. "Las diferencias que surjan entre las partes con ocasión de la celebración, cumplimiento e incumplimiento de las obligaciones que tienen su fuente en el presente contrato efectos del mismo, y, en general, de todo conflicto que tenga relación con el mismo con excepción de procesos ejecutivos, serán decididas en derecho por un tribunal de arbitramento conformado por tres (3) árbitros designados de común acuerdo por las partes. Dos (2) de los árbitros, cuando menos, deberán ser expertos en temas de derecho de seguros. A falta de acuerdo de las partes sobre la designación de los árbitros, ellos serán nombrados por la Cámara de Comercio de Bogotá. La presente cláusula compromisoria no tendrá aplicación cuando dentro del proceso que se instaure por un tercero contra un asegurado, éste llame en garantía a la aseguradora.</w:t>
            </w:r>
          </w:p>
        </w:tc>
      </w:tr>
      <w:tr w:rsidR="00235AC0" w:rsidRPr="00235AC0" w14:paraId="093E30F3" w14:textId="77777777" w:rsidTr="00235AC0">
        <w:trPr>
          <w:trHeight w:val="270"/>
        </w:trPr>
        <w:tc>
          <w:tcPr>
            <w:tcW w:w="0" w:type="auto"/>
            <w:tcBorders>
              <w:top w:val="single" w:sz="4" w:space="0" w:color="auto"/>
              <w:left w:val="single" w:sz="4" w:space="0" w:color="auto"/>
              <w:bottom w:val="single" w:sz="4" w:space="0" w:color="auto"/>
              <w:right w:val="single" w:sz="4" w:space="0" w:color="000000"/>
            </w:tcBorders>
            <w:vAlign w:val="bottom"/>
            <w:hideMark/>
          </w:tcPr>
          <w:p w14:paraId="6432BB09"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Cobertura para funcionarios pasados, presentes y futuros</w:t>
            </w:r>
          </w:p>
        </w:tc>
      </w:tr>
      <w:tr w:rsidR="00235AC0" w:rsidRPr="00235AC0" w14:paraId="43985F82" w14:textId="77777777" w:rsidTr="00235AC0">
        <w:trPr>
          <w:trHeight w:val="1050"/>
        </w:trPr>
        <w:tc>
          <w:tcPr>
            <w:tcW w:w="0" w:type="auto"/>
            <w:tcBorders>
              <w:top w:val="single" w:sz="4" w:space="0" w:color="auto"/>
              <w:left w:val="single" w:sz="4" w:space="0" w:color="auto"/>
              <w:bottom w:val="single" w:sz="4" w:space="0" w:color="auto"/>
              <w:right w:val="single" w:sz="4" w:space="0" w:color="000000"/>
            </w:tcBorders>
            <w:vAlign w:val="bottom"/>
            <w:hideMark/>
          </w:tcPr>
          <w:p w14:paraId="31E89B3E"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Aplicación de disposiciones del codigo de comercio. Las reglas aplicables a los seguros en general y los principios, normas y reglas aplicables a los seguros de daños, Responsabilidad Civil serán aplicables, salvo disiposición en contrario al seguro objeto de esta contratación.</w:t>
            </w:r>
          </w:p>
        </w:tc>
      </w:tr>
      <w:tr w:rsidR="00235AC0" w:rsidRPr="00235AC0" w14:paraId="32322CDE" w14:textId="77777777" w:rsidTr="00235AC0">
        <w:trPr>
          <w:trHeight w:val="450"/>
        </w:trPr>
        <w:tc>
          <w:tcPr>
            <w:tcW w:w="0" w:type="auto"/>
            <w:tcBorders>
              <w:top w:val="single" w:sz="4" w:space="0" w:color="auto"/>
              <w:left w:val="single" w:sz="4" w:space="0" w:color="auto"/>
              <w:bottom w:val="single" w:sz="4" w:space="0" w:color="auto"/>
              <w:right w:val="single" w:sz="4" w:space="0" w:color="000000"/>
            </w:tcBorders>
            <w:vAlign w:val="bottom"/>
            <w:hideMark/>
          </w:tcPr>
          <w:p w14:paraId="4794CABA"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Eliminación de garantías</w:t>
            </w:r>
          </w:p>
        </w:tc>
      </w:tr>
      <w:tr w:rsidR="00235AC0" w:rsidRPr="00235AC0" w14:paraId="4647F365" w14:textId="77777777" w:rsidTr="00235AC0">
        <w:trPr>
          <w:trHeight w:val="1170"/>
        </w:trPr>
        <w:tc>
          <w:tcPr>
            <w:tcW w:w="0" w:type="auto"/>
            <w:tcBorders>
              <w:top w:val="single" w:sz="4" w:space="0" w:color="auto"/>
              <w:left w:val="single" w:sz="4" w:space="0" w:color="auto"/>
              <w:bottom w:val="single" w:sz="4" w:space="0" w:color="auto"/>
              <w:right w:val="single" w:sz="4" w:space="0" w:color="000000"/>
            </w:tcBorders>
            <w:vAlign w:val="bottom"/>
            <w:hideMark/>
          </w:tcPr>
          <w:p w14:paraId="7A91CBE4"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Aceptación de gastos judiciales y/o costos de defensa.</w:t>
            </w:r>
            <w:r w:rsidRPr="00235AC0">
              <w:rPr>
                <w:rFonts w:ascii="Arial" w:eastAsia="Times New Roman" w:hAnsi="Arial" w:cs="Arial"/>
                <w:sz w:val="20"/>
                <w:szCs w:val="20"/>
                <w:lang w:val="es-MX" w:eastAsia="es-MX"/>
              </w:rPr>
              <w:t xml:space="preserve"> Mediante esta condición, queda expresamente acordado que la aseguradora se pronunciará sobre la cotización de honorarios del abogado, gastos judiciales y/o costos de defensa, máximo dentro de los cinco (5) días hábiles siguientes al recibo de la documentación que acredite los mismos. En caso contrario de entenderán aceptados los honorarios de abogado, de conformidad con la(s) cotización(es) presentada(s) por la entidad tomadora del seguro.</w:t>
            </w:r>
          </w:p>
        </w:tc>
      </w:tr>
      <w:tr w:rsidR="00235AC0" w:rsidRPr="00235AC0" w14:paraId="386CE97D" w14:textId="77777777" w:rsidTr="00235AC0">
        <w:trPr>
          <w:trHeight w:val="705"/>
        </w:trPr>
        <w:tc>
          <w:tcPr>
            <w:tcW w:w="0" w:type="auto"/>
            <w:tcBorders>
              <w:top w:val="single" w:sz="4" w:space="0" w:color="auto"/>
              <w:left w:val="single" w:sz="4" w:space="0" w:color="auto"/>
              <w:bottom w:val="single" w:sz="4" w:space="0" w:color="auto"/>
              <w:right w:val="single" w:sz="4" w:space="0" w:color="000000"/>
            </w:tcBorders>
            <w:vAlign w:val="bottom"/>
            <w:hideMark/>
          </w:tcPr>
          <w:p w14:paraId="51515669"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 xml:space="preserve">Ampliación del plazo para aviso de no renovación o prórroga de la póliza. </w:t>
            </w:r>
            <w:r w:rsidRPr="00235AC0">
              <w:rPr>
                <w:rFonts w:ascii="Arial" w:eastAsia="Times New Roman" w:hAnsi="Arial" w:cs="Arial"/>
                <w:sz w:val="20"/>
                <w:szCs w:val="20"/>
                <w:lang w:val="es-MX" w:eastAsia="es-MX"/>
              </w:rPr>
              <w:t xml:space="preserve">En el caso de que la aseguradora decida no otorgar renovación o prorroga del contrato de seguro, queda entendido, convenido y aceptado que la Aseguradora deberá dar aviso de ello al asegurado con no menos de noventa (90) días de antelación a la fecha de vencimiento de la póliza, en caso contrario se dará por entendido que la Aseguradora acepta la renovación o prorroga, previa autorización de la </w:t>
            </w:r>
            <w:r w:rsidRPr="00235AC0">
              <w:rPr>
                <w:rFonts w:ascii="Arial" w:eastAsia="Times New Roman" w:hAnsi="Arial" w:cs="Arial"/>
                <w:sz w:val="20"/>
                <w:szCs w:val="20"/>
                <w:lang w:val="es-MX" w:eastAsia="es-MX"/>
              </w:rPr>
              <w:lastRenderedPageBreak/>
              <w:t>Entidad, hasta el límite legal establecido en la Ley 80 de 1993, para la adición de los contratos y manteniendo las mismas condiciones ofertadas en este proceso.</w:t>
            </w:r>
          </w:p>
        </w:tc>
      </w:tr>
      <w:tr w:rsidR="00235AC0" w:rsidRPr="00235AC0" w14:paraId="31BCC05B" w14:textId="77777777" w:rsidTr="00235AC0">
        <w:trPr>
          <w:trHeight w:val="1170"/>
        </w:trPr>
        <w:tc>
          <w:tcPr>
            <w:tcW w:w="0" w:type="auto"/>
            <w:tcBorders>
              <w:top w:val="single" w:sz="4" w:space="0" w:color="auto"/>
              <w:left w:val="single" w:sz="4" w:space="0" w:color="auto"/>
              <w:bottom w:val="single" w:sz="4" w:space="0" w:color="auto"/>
              <w:right w:val="single" w:sz="4" w:space="0" w:color="000000"/>
            </w:tcBorders>
            <w:vAlign w:val="bottom"/>
            <w:hideMark/>
          </w:tcPr>
          <w:p w14:paraId="4546371A"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lastRenderedPageBreak/>
              <w:t xml:space="preserve">Ampliación del plazo para aviso de revocación de la póliza: </w:t>
            </w:r>
            <w:r w:rsidRPr="00235AC0">
              <w:rPr>
                <w:rFonts w:ascii="Arial" w:eastAsia="Times New Roman" w:hAnsi="Arial" w:cs="Arial"/>
                <w:sz w:val="20"/>
                <w:szCs w:val="20"/>
                <w:lang w:val="es-MX" w:eastAsia="es-MX"/>
              </w:rPr>
              <w:t>El Oferente debe contemplar bajo esta cláusula que la póliza podrá ser revocada unilateralmente por la compañía, mediante noticia escrita certificada enviada al asegurado a su última dirección registrada, con una anticipación no menor de noventa (90) días calendario. Los días de anticipación del aviso serán contados a partir de la fecha de recepción por parte del Asegurado de la noticia escrita certificada.</w:t>
            </w:r>
          </w:p>
        </w:tc>
      </w:tr>
      <w:tr w:rsidR="00235AC0" w:rsidRPr="00235AC0" w14:paraId="06493656" w14:textId="77777777" w:rsidTr="00235AC0">
        <w:trPr>
          <w:trHeight w:val="2509"/>
        </w:trPr>
        <w:tc>
          <w:tcPr>
            <w:tcW w:w="0" w:type="auto"/>
            <w:tcBorders>
              <w:top w:val="single" w:sz="4" w:space="0" w:color="auto"/>
              <w:left w:val="single" w:sz="4" w:space="0" w:color="auto"/>
              <w:bottom w:val="single" w:sz="4" w:space="0" w:color="auto"/>
              <w:right w:val="single" w:sz="4" w:space="0" w:color="000000"/>
            </w:tcBorders>
            <w:vAlign w:val="bottom"/>
            <w:hideMark/>
          </w:tcPr>
          <w:p w14:paraId="312C29B8"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 xml:space="preserve">Anticipo de Gastos de Defensa, con sublímite del 20%. </w:t>
            </w:r>
            <w:r w:rsidRPr="00235AC0">
              <w:rPr>
                <w:rFonts w:ascii="Arial" w:eastAsia="Times New Roman" w:hAnsi="Arial" w:cs="Arial"/>
                <w:sz w:val="20"/>
                <w:szCs w:val="20"/>
                <w:lang w:val="es-MX" w:eastAsia="es-MX"/>
              </w:rPr>
              <w:t xml:space="preserve">Mediante la presente cláusula queda expresamente convenido y aceptado, que en caso de siniestro la Aseguradora anticipará pago </w:t>
            </w:r>
            <w:r w:rsidRPr="00235AC0">
              <w:rPr>
                <w:rFonts w:ascii="Arial" w:eastAsia="Times New Roman" w:hAnsi="Arial" w:cs="Arial"/>
                <w:b/>
                <w:bCs/>
                <w:sz w:val="20"/>
                <w:szCs w:val="20"/>
                <w:lang w:val="es-MX" w:eastAsia="es-MX"/>
              </w:rPr>
              <w:t xml:space="preserve">del 20% </w:t>
            </w:r>
            <w:r w:rsidRPr="00235AC0">
              <w:rPr>
                <w:rFonts w:ascii="Arial" w:eastAsia="Times New Roman" w:hAnsi="Arial" w:cs="Arial"/>
                <w:sz w:val="20"/>
                <w:szCs w:val="20"/>
                <w:lang w:val="es-MX" w:eastAsia="es-MX"/>
              </w:rPr>
              <w:t>del valor de los gastos de defensa, con base en la propuesta (cotización(es) presentada(s) a la Compañia aseguradora) por la Entidad tomadora, los funcionarios designados por esta o los asegurados y aprobada de acuerdo con lo establecido en la clausula de Aceptación de gastos judiciales y/o costos de defensa.  La Compañia aseguradora igualmente se compromete al pago del anticipo, dentro de los cinco (5) dias habiles siguientes a la conclusión del término previsto en la cláusula de Aceptación de gastos judiciales y/o costos de defensa.  En caso de que el anticipo que la compañía adelante por concepto de estos gastos llegare a exceder la suma total indemnizable a que tenga derecho y/o el fallo definitivo de la autoridad competente no exonere de toda responsabilidad al asegurado, éste se compromete a devolver dentro de los treinta (30) dias siguientes a inmediatamente el exceso pagado y/o el valor del anticipo, segun sea el caso. Así mismo, la aseguradora se reserva el derecho de subrogación, por ya sea porque exista decisión definitiva que exonere de toda responsabilidad y/o sea condenada la contraparte a las costas del proceso u otro propio derivado del derecho indicado</w:t>
            </w:r>
          </w:p>
        </w:tc>
      </w:tr>
      <w:tr w:rsidR="00235AC0" w:rsidRPr="00235AC0" w14:paraId="08DFE830" w14:textId="77777777" w:rsidTr="00235AC0">
        <w:trPr>
          <w:trHeight w:val="1650"/>
        </w:trPr>
        <w:tc>
          <w:tcPr>
            <w:tcW w:w="0" w:type="auto"/>
            <w:tcBorders>
              <w:top w:val="single" w:sz="4" w:space="0" w:color="auto"/>
              <w:left w:val="single" w:sz="4" w:space="0" w:color="auto"/>
              <w:bottom w:val="single" w:sz="4" w:space="0" w:color="auto"/>
              <w:right w:val="single" w:sz="4" w:space="0" w:color="000000"/>
            </w:tcBorders>
            <w:shd w:val="clear" w:color="000000" w:fill="FFFFFF"/>
            <w:vAlign w:val="bottom"/>
            <w:hideMark/>
          </w:tcPr>
          <w:p w14:paraId="41B64773"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 xml:space="preserve">PERIODO EXTENDIDO DE RECLAMACION. </w:t>
            </w:r>
            <w:r w:rsidRPr="00235AC0">
              <w:rPr>
                <w:rFonts w:ascii="Arial" w:eastAsia="Times New Roman" w:hAnsi="Arial" w:cs="Arial"/>
                <w:sz w:val="20"/>
                <w:szCs w:val="20"/>
                <w:lang w:val="es-MX" w:eastAsia="es-MX"/>
              </w:rPr>
              <w:t>Con término de 24 meses y cobro adicional de prima anual. Bajo esta cláusula, queda expresamente acordado que la cobertura del seguro se extiende por el período de 24 meses, para amparar las reclamaciones que se formulen con posterioridad al vencimiento de la vigencia de la póliza, exclusivamente respecto de actos incorrectos y eventos cubiertos bajo la misma y ocurridos durante la referida vigencia. Esta condición opera únicamente en el caso de que la póliza sea cancelada o no renovada por la aseguradora. La extensión de cobertura de 24 meses solo opera cuando la póliza sea cancelada o no renovada,  deberá ser solicitada 30 días antes del vencimiento de la póliza.</w:t>
            </w:r>
          </w:p>
        </w:tc>
      </w:tr>
      <w:tr w:rsidR="00235AC0" w:rsidRPr="00235AC0" w14:paraId="441A55E3" w14:textId="77777777" w:rsidTr="00235AC0">
        <w:trPr>
          <w:trHeight w:val="795"/>
        </w:trPr>
        <w:tc>
          <w:tcPr>
            <w:tcW w:w="0" w:type="auto"/>
            <w:tcBorders>
              <w:top w:val="single" w:sz="4" w:space="0" w:color="auto"/>
              <w:left w:val="single" w:sz="4" w:space="0" w:color="auto"/>
              <w:bottom w:val="single" w:sz="4" w:space="0" w:color="auto"/>
              <w:right w:val="single" w:sz="4" w:space="0" w:color="000000"/>
            </w:tcBorders>
            <w:vAlign w:val="bottom"/>
            <w:hideMark/>
          </w:tcPr>
          <w:p w14:paraId="10DB3203"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 xml:space="preserve">Libre escogencia de abogado para la defensa. </w:t>
            </w:r>
            <w:r w:rsidRPr="00235AC0">
              <w:rPr>
                <w:rFonts w:ascii="Arial" w:eastAsia="Times New Roman" w:hAnsi="Arial" w:cs="Arial"/>
                <w:sz w:val="20"/>
                <w:szCs w:val="20"/>
                <w:lang w:val="es-MX" w:eastAsia="es-MX"/>
              </w:rPr>
              <w:t>El Asegurado podrá seleccionar el abogado que estime conveniente para la asunción de su defensa. Esta cláusula opera previa autorización de la compañía aseguradora.</w:t>
            </w:r>
          </w:p>
        </w:tc>
      </w:tr>
      <w:tr w:rsidR="00235AC0" w:rsidRPr="00235AC0" w14:paraId="42AF39F5" w14:textId="77777777" w:rsidTr="00235AC0">
        <w:trPr>
          <w:trHeight w:val="1005"/>
        </w:trPr>
        <w:tc>
          <w:tcPr>
            <w:tcW w:w="0" w:type="auto"/>
            <w:tcBorders>
              <w:top w:val="single" w:sz="4" w:space="0" w:color="auto"/>
              <w:left w:val="single" w:sz="4" w:space="0" w:color="auto"/>
              <w:bottom w:val="single" w:sz="4" w:space="0" w:color="auto"/>
              <w:right w:val="single" w:sz="4" w:space="0" w:color="000000"/>
            </w:tcBorders>
            <w:vAlign w:val="bottom"/>
            <w:hideMark/>
          </w:tcPr>
          <w:p w14:paraId="415DB32A"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 xml:space="preserve">Modificación de condiciones. </w:t>
            </w:r>
            <w:r w:rsidRPr="00235AC0">
              <w:rPr>
                <w:rFonts w:ascii="Arial" w:eastAsia="Times New Roman" w:hAnsi="Arial" w:cs="Arial"/>
                <w:sz w:val="20"/>
                <w:szCs w:val="20"/>
                <w:lang w:val="es-MX" w:eastAsia="es-MX"/>
              </w:rPr>
              <w:t xml:space="preserve">Debe contemplarse bajo esta cláusula, que los cambios o modificaciones a las condiciones de la presente póliza, serán acordados mutuamente entre la compañía y el asegurado. El certificado, documento o comunicaciones que se expidan para formalizarlos debe ser firmado, en señal de aceptación, por un representante legal del asegurado o funcionario autorizado, prevaleciendo sobre las condiciones de esta póliza. </w:t>
            </w:r>
          </w:p>
        </w:tc>
      </w:tr>
      <w:tr w:rsidR="00235AC0" w:rsidRPr="00235AC0" w14:paraId="19762747" w14:textId="77777777" w:rsidTr="00235AC0">
        <w:trPr>
          <w:trHeight w:val="825"/>
        </w:trPr>
        <w:tc>
          <w:tcPr>
            <w:tcW w:w="0" w:type="auto"/>
            <w:tcBorders>
              <w:top w:val="single" w:sz="4" w:space="0" w:color="auto"/>
              <w:left w:val="single" w:sz="4" w:space="0" w:color="auto"/>
              <w:bottom w:val="single" w:sz="4" w:space="0" w:color="auto"/>
              <w:right w:val="single" w:sz="4" w:space="0" w:color="000000"/>
            </w:tcBorders>
            <w:vAlign w:val="bottom"/>
            <w:hideMark/>
          </w:tcPr>
          <w:p w14:paraId="574F54D4"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 xml:space="preserve">Modificaciones a favor del asegurado. </w:t>
            </w:r>
            <w:r w:rsidRPr="00235AC0">
              <w:rPr>
                <w:rFonts w:ascii="Arial" w:eastAsia="Times New Roman" w:hAnsi="Arial" w:cs="Arial"/>
                <w:sz w:val="20"/>
                <w:szCs w:val="20"/>
                <w:lang w:val="es-MX" w:eastAsia="es-MX"/>
              </w:rPr>
              <w:t>Si durante la vigencia de la póliza se presentan modificaciones a las condiciones de la póliza que representen un beneficio a favor del asegurado, sin que impliquen un aumento a la prima originalmente pactada, tales modificaciones se consideran automáticamente incorporadas a la póliza.</w:t>
            </w:r>
          </w:p>
        </w:tc>
      </w:tr>
      <w:tr w:rsidR="00235AC0" w:rsidRPr="00235AC0" w14:paraId="3DF1015F" w14:textId="77777777" w:rsidTr="00235AC0">
        <w:trPr>
          <w:trHeight w:val="885"/>
        </w:trPr>
        <w:tc>
          <w:tcPr>
            <w:tcW w:w="0" w:type="auto"/>
            <w:tcBorders>
              <w:top w:val="single" w:sz="4" w:space="0" w:color="auto"/>
              <w:left w:val="single" w:sz="4" w:space="0" w:color="auto"/>
              <w:bottom w:val="single" w:sz="4" w:space="0" w:color="auto"/>
              <w:right w:val="single" w:sz="4" w:space="0" w:color="000000"/>
            </w:tcBorders>
            <w:vAlign w:val="bottom"/>
            <w:hideMark/>
          </w:tcPr>
          <w:p w14:paraId="64CD9599"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No aplicación de tarifa de abogados u otro criterio, para limitar y/o aceptar la propuesta de los honorarios de abogados, presentada GOBERNACIÓN DE SUCRE, o los funcionarios que esta designe, sujeto a que el valor de los mismos no superen los límites asegurados otorgados.</w:t>
            </w:r>
          </w:p>
        </w:tc>
      </w:tr>
      <w:tr w:rsidR="00235AC0" w:rsidRPr="00235AC0" w14:paraId="49BE8343" w14:textId="77777777" w:rsidTr="00235AC0">
        <w:trPr>
          <w:trHeight w:val="375"/>
        </w:trPr>
        <w:tc>
          <w:tcPr>
            <w:tcW w:w="0" w:type="auto"/>
            <w:tcBorders>
              <w:top w:val="single" w:sz="4" w:space="0" w:color="auto"/>
              <w:left w:val="single" w:sz="4" w:space="0" w:color="auto"/>
              <w:bottom w:val="single" w:sz="4" w:space="0" w:color="auto"/>
              <w:right w:val="single" w:sz="4" w:space="0" w:color="000000"/>
            </w:tcBorders>
            <w:vAlign w:val="bottom"/>
            <w:hideMark/>
          </w:tcPr>
          <w:p w14:paraId="61CE7DD7"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Designación de ajustadores de común acuerdo con el asegurado</w:t>
            </w:r>
          </w:p>
        </w:tc>
      </w:tr>
      <w:tr w:rsidR="00235AC0" w:rsidRPr="00235AC0" w14:paraId="223DA8BF" w14:textId="77777777" w:rsidTr="00235AC0">
        <w:trPr>
          <w:trHeight w:val="1110"/>
        </w:trPr>
        <w:tc>
          <w:tcPr>
            <w:tcW w:w="0" w:type="auto"/>
            <w:tcBorders>
              <w:top w:val="single" w:sz="4" w:space="0" w:color="auto"/>
              <w:left w:val="single" w:sz="4" w:space="0" w:color="auto"/>
              <w:bottom w:val="single" w:sz="4" w:space="0" w:color="auto"/>
              <w:right w:val="single" w:sz="4" w:space="0" w:color="000000"/>
            </w:tcBorders>
            <w:vAlign w:val="bottom"/>
            <w:hideMark/>
          </w:tcPr>
          <w:p w14:paraId="2CBE793B"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lastRenderedPageBreak/>
              <w:t xml:space="preserve">Revocación por parte del asegurado sin penalización (Liquidación a corto plazo). </w:t>
            </w:r>
            <w:r w:rsidRPr="00235AC0">
              <w:rPr>
                <w:rFonts w:ascii="Arial" w:eastAsia="Times New Roman" w:hAnsi="Arial" w:cs="Arial"/>
                <w:sz w:val="20"/>
                <w:szCs w:val="20"/>
                <w:lang w:val="es-MX" w:eastAsia="es-MX"/>
              </w:rPr>
              <w:t>El Oferente debe contemplar bajo esta cláusula que la póliza podrá ser revocada unilateralmente por el Asegurado en cualquier momento de la vigencia del seguro, mediante noticia escrita enviada a su dirección comercial o a su última dirección registrada. La prima de seguro no devengada será liquidada a prorrata.</w:t>
            </w:r>
          </w:p>
        </w:tc>
      </w:tr>
      <w:tr w:rsidR="00235AC0" w:rsidRPr="00235AC0" w14:paraId="5F4B6E3A" w14:textId="77777777" w:rsidTr="00235AC0">
        <w:trPr>
          <w:trHeight w:val="645"/>
        </w:trPr>
        <w:tc>
          <w:tcPr>
            <w:tcW w:w="0" w:type="auto"/>
            <w:tcBorders>
              <w:top w:val="single" w:sz="4" w:space="0" w:color="auto"/>
              <w:left w:val="single" w:sz="4" w:space="0" w:color="auto"/>
              <w:bottom w:val="single" w:sz="4" w:space="0" w:color="auto"/>
              <w:right w:val="single" w:sz="4" w:space="0" w:color="000000"/>
            </w:tcBorders>
            <w:vAlign w:val="bottom"/>
            <w:hideMark/>
          </w:tcPr>
          <w:p w14:paraId="327F78D6"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 xml:space="preserve">Pago de gastos de defensa dentro de los treinta (30) días hábiles siguientes a la aceptación de los gastos o costos de defensa. </w:t>
            </w:r>
          </w:p>
        </w:tc>
      </w:tr>
      <w:tr w:rsidR="00235AC0" w:rsidRPr="00235AC0" w14:paraId="390AFB06" w14:textId="77777777" w:rsidTr="00235AC0">
        <w:trPr>
          <w:trHeight w:val="420"/>
        </w:trPr>
        <w:tc>
          <w:tcPr>
            <w:tcW w:w="0" w:type="auto"/>
            <w:tcBorders>
              <w:top w:val="single" w:sz="4" w:space="0" w:color="auto"/>
              <w:left w:val="single" w:sz="4" w:space="0" w:color="auto"/>
              <w:bottom w:val="single" w:sz="4" w:space="0" w:color="auto"/>
              <w:right w:val="single" w:sz="4" w:space="0" w:color="000000"/>
            </w:tcBorders>
            <w:vAlign w:val="bottom"/>
            <w:hideMark/>
          </w:tcPr>
          <w:p w14:paraId="6BD081A8" w14:textId="77777777" w:rsidR="00235AC0" w:rsidRPr="00235AC0" w:rsidRDefault="00235AC0" w:rsidP="00235AC0">
            <w:pPr>
              <w:jc w:val="both"/>
              <w:rPr>
                <w:rFonts w:ascii="Arial" w:eastAsia="Times New Roman" w:hAnsi="Arial" w:cs="Arial"/>
                <w:b/>
                <w:bCs/>
                <w:sz w:val="20"/>
                <w:szCs w:val="20"/>
                <w:lang w:val="es-MX" w:eastAsia="es-MX"/>
              </w:rPr>
            </w:pPr>
            <w:r w:rsidRPr="00235AC0">
              <w:rPr>
                <w:rFonts w:ascii="Arial" w:eastAsia="Times New Roman" w:hAnsi="Arial" w:cs="Arial"/>
                <w:b/>
                <w:bCs/>
                <w:sz w:val="20"/>
                <w:szCs w:val="20"/>
                <w:lang w:val="es-MX" w:eastAsia="es-MX"/>
              </w:rPr>
              <w:t>Errores, omisiones e inexactitudes no intencionales</w:t>
            </w:r>
          </w:p>
        </w:tc>
      </w:tr>
      <w:tr w:rsidR="00235AC0" w:rsidRPr="00235AC0" w14:paraId="22FBEA2E" w14:textId="77777777" w:rsidTr="00235AC0">
        <w:trPr>
          <w:trHeight w:val="765"/>
        </w:trPr>
        <w:tc>
          <w:tcPr>
            <w:tcW w:w="0" w:type="auto"/>
            <w:tcBorders>
              <w:top w:val="single" w:sz="4" w:space="0" w:color="auto"/>
              <w:left w:val="single" w:sz="4" w:space="0" w:color="auto"/>
              <w:bottom w:val="single" w:sz="4" w:space="0" w:color="auto"/>
              <w:right w:val="single" w:sz="4" w:space="0" w:color="000000"/>
            </w:tcBorders>
            <w:shd w:val="clear" w:color="000000" w:fill="FF0000"/>
            <w:vAlign w:val="bottom"/>
            <w:hideMark/>
          </w:tcPr>
          <w:p w14:paraId="754CEBB8" w14:textId="77777777" w:rsidR="00235AC0" w:rsidRPr="00235AC0" w:rsidRDefault="00235AC0" w:rsidP="00235AC0">
            <w:pPr>
              <w:jc w:val="both"/>
              <w:rPr>
                <w:rFonts w:ascii="Arial" w:eastAsia="Times New Roman" w:hAnsi="Arial" w:cs="Arial"/>
                <w:b/>
                <w:bCs/>
                <w:color w:val="FFFFFF"/>
                <w:sz w:val="20"/>
                <w:szCs w:val="20"/>
                <w:lang w:val="es-MX" w:eastAsia="es-MX"/>
              </w:rPr>
            </w:pPr>
            <w:r w:rsidRPr="00235AC0">
              <w:rPr>
                <w:rFonts w:ascii="Arial" w:eastAsia="Times New Roman" w:hAnsi="Arial" w:cs="Arial"/>
                <w:b/>
                <w:bCs/>
                <w:color w:val="FFFFFF"/>
                <w:sz w:val="20"/>
                <w:szCs w:val="20"/>
                <w:lang w:val="es-MX" w:eastAsia="es-MX"/>
              </w:rPr>
              <w:t>Deducibles</w:t>
            </w:r>
          </w:p>
        </w:tc>
      </w:tr>
      <w:tr w:rsidR="00235AC0" w:rsidRPr="00235AC0" w14:paraId="6770C584" w14:textId="77777777" w:rsidTr="00235AC0">
        <w:trPr>
          <w:trHeight w:val="619"/>
        </w:trPr>
        <w:tc>
          <w:tcPr>
            <w:tcW w:w="0" w:type="auto"/>
            <w:tcBorders>
              <w:top w:val="single" w:sz="4" w:space="0" w:color="auto"/>
              <w:left w:val="single" w:sz="4" w:space="0" w:color="auto"/>
              <w:bottom w:val="single" w:sz="4" w:space="0" w:color="auto"/>
              <w:right w:val="single" w:sz="4" w:space="0" w:color="000000"/>
            </w:tcBorders>
            <w:vAlign w:val="bottom"/>
            <w:hideMark/>
          </w:tcPr>
          <w:p w14:paraId="3553B5C3" w14:textId="77777777" w:rsidR="00235AC0" w:rsidRPr="00235AC0" w:rsidRDefault="00235AC0" w:rsidP="00235AC0">
            <w:pPr>
              <w:jc w:val="both"/>
              <w:rPr>
                <w:rFonts w:ascii="Arial" w:eastAsia="Times New Roman" w:hAnsi="Arial" w:cs="Arial"/>
                <w:sz w:val="20"/>
                <w:szCs w:val="20"/>
                <w:lang w:val="es-MX" w:eastAsia="es-MX"/>
              </w:rPr>
            </w:pPr>
            <w:r w:rsidRPr="00235AC0">
              <w:rPr>
                <w:rFonts w:ascii="Arial" w:eastAsia="Times New Roman" w:hAnsi="Arial" w:cs="Arial"/>
                <w:sz w:val="20"/>
                <w:szCs w:val="20"/>
                <w:lang w:val="es-MX" w:eastAsia="es-MX"/>
              </w:rPr>
              <w:t>Para todas las coberturas de la presente póliza el deducible es: Cero (0), asi las cosas todo el puntaje de los deducibles se sumara a las Clausulas y/o condiciones complementarias.</w:t>
            </w:r>
          </w:p>
        </w:tc>
      </w:tr>
    </w:tbl>
    <w:p w14:paraId="3630A5AA" w14:textId="77777777" w:rsidR="008B6608" w:rsidRDefault="008B6608" w:rsidP="00B27541">
      <w:pPr>
        <w:jc w:val="both"/>
        <w:rPr>
          <w:rFonts w:ascii="Arial Narrow" w:hAnsi="Arial Narrow" w:cs="Arial"/>
        </w:rPr>
      </w:pPr>
    </w:p>
    <w:sectPr w:rsidR="008B6608" w:rsidSect="00194021">
      <w:headerReference w:type="default" r:id="rId7"/>
      <w:footerReference w:type="even" r:id="rId8"/>
      <w:footerReference w:type="default" r:id="rId9"/>
      <w:footerReference w:type="first" r:id="rId10"/>
      <w:pgSz w:w="12240" w:h="15840" w:code="1"/>
      <w:pgMar w:top="207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F4C5A" w14:textId="77777777" w:rsidR="005F2C5A" w:rsidRDefault="005F2C5A" w:rsidP="00E85234">
      <w:r>
        <w:separator/>
      </w:r>
    </w:p>
  </w:endnote>
  <w:endnote w:type="continuationSeparator" w:id="0">
    <w:p w14:paraId="650FE51F" w14:textId="77777777" w:rsidR="005F2C5A" w:rsidRDefault="005F2C5A" w:rsidP="00E8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31CA2" w14:textId="4C15E544" w:rsidR="00C66E4B" w:rsidRDefault="00C66E4B">
    <w:pPr>
      <w:pStyle w:val="Piedepgina"/>
    </w:pPr>
    <w:r>
      <w:rPr>
        <w:noProof/>
      </w:rPr>
      <mc:AlternateContent>
        <mc:Choice Requires="wps">
          <w:drawing>
            <wp:anchor distT="0" distB="0" distL="0" distR="0" simplePos="0" relativeHeight="251681792" behindDoc="0" locked="0" layoutInCell="1" allowOverlap="1" wp14:anchorId="7F092DE7" wp14:editId="13F860BC">
              <wp:simplePos x="635" y="635"/>
              <wp:positionH relativeFrom="page">
                <wp:align>center</wp:align>
              </wp:positionH>
              <wp:positionV relativeFrom="page">
                <wp:align>bottom</wp:align>
              </wp:positionV>
              <wp:extent cx="1633220" cy="345440"/>
              <wp:effectExtent l="0" t="0" r="5080" b="0"/>
              <wp:wrapNone/>
              <wp:docPr id="1365995942" name="Cuadro de texto 2"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472FF869" w14:textId="1659BB06" w:rsidR="00C66E4B" w:rsidRPr="00C66E4B" w:rsidRDefault="00C66E4B" w:rsidP="00C66E4B">
                          <w:pPr>
                            <w:rPr>
                              <w:rFonts w:ascii="Calibri" w:eastAsia="Calibri" w:hAnsi="Calibri" w:cs="Calibri"/>
                              <w:noProof/>
                              <w:color w:val="000000"/>
                              <w:sz w:val="20"/>
                              <w:szCs w:val="20"/>
                            </w:rPr>
                          </w:pPr>
                          <w:r w:rsidRPr="00C66E4B">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092DE7" id="_x0000_t202" coordsize="21600,21600" o:spt="202" path="m,l,21600r21600,l21600,xe">
              <v:stroke joinstyle="miter"/>
              <v:path gradientshapeok="t" o:connecttype="rect"/>
            </v:shapetype>
            <v:shape id="Cuadro de texto 2" o:spid="_x0000_s1026" type="#_x0000_t202" alt="DOCUMENTO DE USO INTERNO" style="position:absolute;margin-left:0;margin-top:0;width:128.6pt;height:27.2pt;z-index:2516817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" filled="f" stroked="f">
              <v:fill o:detectmouseclick="t"/>
              <v:textbox style="mso-fit-shape-to-text:t" inset="0,0,0,15pt">
                <w:txbxContent>
                  <w:p w14:paraId="472FF869" w14:textId="1659BB06" w:rsidR="00C66E4B" w:rsidRPr="00C66E4B" w:rsidRDefault="00C66E4B" w:rsidP="00C66E4B">
                    <w:pPr>
                      <w:rPr>
                        <w:rFonts w:ascii="Calibri" w:eastAsia="Calibri" w:hAnsi="Calibri" w:cs="Calibri"/>
                        <w:noProof/>
                        <w:color w:val="000000"/>
                        <w:sz w:val="20"/>
                        <w:szCs w:val="20"/>
                      </w:rPr>
                    </w:pPr>
                    <w:r w:rsidRPr="00C66E4B">
                      <w:rPr>
                        <w:rFonts w:ascii="Calibri" w:eastAsia="Calibri" w:hAnsi="Calibri" w:cs="Calibri"/>
                        <w:noProof/>
                        <w:color w:val="000000"/>
                        <w:sz w:val="20"/>
                        <w:szCs w:val="20"/>
                      </w:rPr>
                      <w:t>DOCUMENTO DE 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F4A3" w14:textId="36FE00BB" w:rsidR="00E85234" w:rsidRDefault="00C66E4B">
    <w:pPr>
      <w:pStyle w:val="Piedepgina"/>
    </w:pPr>
    <w:r>
      <w:rPr>
        <w:noProof/>
      </w:rPr>
      <mc:AlternateContent>
        <mc:Choice Requires="wps">
          <w:drawing>
            <wp:anchor distT="0" distB="0" distL="0" distR="0" simplePos="0" relativeHeight="251682816" behindDoc="0" locked="0" layoutInCell="1" allowOverlap="1" wp14:anchorId="496EE372" wp14:editId="2882AEC1">
              <wp:simplePos x="1082650" y="9421978"/>
              <wp:positionH relativeFrom="page">
                <wp:align>center</wp:align>
              </wp:positionH>
              <wp:positionV relativeFrom="page">
                <wp:align>bottom</wp:align>
              </wp:positionV>
              <wp:extent cx="1633220" cy="345440"/>
              <wp:effectExtent l="0" t="0" r="5080" b="0"/>
              <wp:wrapNone/>
              <wp:docPr id="157398046" name="Cuadro de texto 3"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3DF7A467" w14:textId="606AE26D" w:rsidR="00C66E4B" w:rsidRPr="00C66E4B" w:rsidRDefault="00C66E4B" w:rsidP="00C66E4B">
                          <w:pPr>
                            <w:rPr>
                              <w:rFonts w:ascii="Calibri" w:eastAsia="Calibri" w:hAnsi="Calibri" w:cs="Calibri"/>
                              <w:noProof/>
                              <w:color w:val="000000"/>
                              <w:sz w:val="20"/>
                              <w:szCs w:val="20"/>
                            </w:rPr>
                          </w:pPr>
                          <w:r w:rsidRPr="00C66E4B">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6EE372" id="_x0000_t202" coordsize="21600,21600" o:spt="202" path="m,l,21600r21600,l21600,xe">
              <v:stroke joinstyle="miter"/>
              <v:path gradientshapeok="t" o:connecttype="rect"/>
            </v:shapetype>
            <v:shape id="Cuadro de texto 3" o:spid="_x0000_s1027" type="#_x0000_t202" alt="DOCUMENTO DE USO INTERNO" style="position:absolute;margin-left:0;margin-top:0;width:128.6pt;height:27.2pt;z-index:2516828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" filled="f" stroked="f">
              <v:fill o:detectmouseclick="t"/>
              <v:textbox style="mso-fit-shape-to-text:t" inset="0,0,0,15pt">
                <w:txbxContent>
                  <w:p w14:paraId="3DF7A467" w14:textId="606AE26D" w:rsidR="00C66E4B" w:rsidRPr="00C66E4B" w:rsidRDefault="00C66E4B" w:rsidP="00C66E4B">
                    <w:pPr>
                      <w:rPr>
                        <w:rFonts w:ascii="Calibri" w:eastAsia="Calibri" w:hAnsi="Calibri" w:cs="Calibri"/>
                        <w:noProof/>
                        <w:color w:val="000000"/>
                        <w:sz w:val="20"/>
                        <w:szCs w:val="20"/>
                      </w:rPr>
                    </w:pPr>
                    <w:r w:rsidRPr="00C66E4B">
                      <w:rPr>
                        <w:rFonts w:ascii="Calibri" w:eastAsia="Calibri" w:hAnsi="Calibri" w:cs="Calibri"/>
                        <w:noProof/>
                        <w:color w:val="000000"/>
                        <w:sz w:val="20"/>
                        <w:szCs w:val="20"/>
                      </w:rPr>
                      <w:t>DOCUMENTO DE USO INTERNO</w:t>
                    </w:r>
                  </w:p>
                </w:txbxContent>
              </v:textbox>
              <w10:wrap anchorx="page" anchory="page"/>
            </v:shape>
          </w:pict>
        </mc:Fallback>
      </mc:AlternateContent>
    </w:r>
    <w:r w:rsidR="00F13700">
      <w:rPr>
        <w:noProof/>
      </w:rPr>
      <w:drawing>
        <wp:anchor distT="0" distB="0" distL="114300" distR="114300" simplePos="0" relativeHeight="251679744" behindDoc="1" locked="0" layoutInCell="1" allowOverlap="1" wp14:anchorId="574EB846" wp14:editId="7A089433">
          <wp:simplePos x="0" y="0"/>
          <wp:positionH relativeFrom="margin">
            <wp:align>center</wp:align>
          </wp:positionH>
          <wp:positionV relativeFrom="paragraph">
            <wp:posOffset>-154940</wp:posOffset>
          </wp:positionV>
          <wp:extent cx="6212205" cy="579120"/>
          <wp:effectExtent l="0" t="0" r="0" b="0"/>
          <wp:wrapNone/>
          <wp:docPr id="51315207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2205" cy="579120"/>
                  </a:xfrm>
                  <a:prstGeom prst="rect">
                    <a:avLst/>
                  </a:prstGeom>
                  <a:noFill/>
                </pic:spPr>
              </pic:pic>
            </a:graphicData>
          </a:graphic>
        </wp:anchor>
      </w:drawing>
    </w:r>
    <w:r w:rsidR="004F0DB7">
      <w:rPr>
        <w:noProof/>
      </w:rPr>
      <w:drawing>
        <wp:anchor distT="0" distB="0" distL="114300" distR="114300" simplePos="0" relativeHeight="251678720" behindDoc="1" locked="0" layoutInCell="1" allowOverlap="1" wp14:anchorId="631DC4A8" wp14:editId="4100A3AB">
          <wp:simplePos x="0" y="0"/>
          <wp:positionH relativeFrom="page">
            <wp:align>left</wp:align>
          </wp:positionH>
          <wp:positionV relativeFrom="paragraph">
            <wp:posOffset>340360</wp:posOffset>
          </wp:positionV>
          <wp:extent cx="7797165" cy="286385"/>
          <wp:effectExtent l="0" t="0" r="0" b="0"/>
          <wp:wrapNone/>
          <wp:docPr id="69757598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7165" cy="286385"/>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BCDD6" w14:textId="7F104CF3" w:rsidR="00C66E4B" w:rsidRDefault="00C66E4B">
    <w:pPr>
      <w:pStyle w:val="Piedepgina"/>
    </w:pPr>
    <w:r>
      <w:rPr>
        <w:noProof/>
      </w:rPr>
      <mc:AlternateContent>
        <mc:Choice Requires="wps">
          <w:drawing>
            <wp:anchor distT="0" distB="0" distL="0" distR="0" simplePos="0" relativeHeight="251680768" behindDoc="0" locked="0" layoutInCell="1" allowOverlap="1" wp14:anchorId="2F64FD91" wp14:editId="46070BCB">
              <wp:simplePos x="635" y="635"/>
              <wp:positionH relativeFrom="page">
                <wp:align>center</wp:align>
              </wp:positionH>
              <wp:positionV relativeFrom="page">
                <wp:align>bottom</wp:align>
              </wp:positionV>
              <wp:extent cx="1633220" cy="345440"/>
              <wp:effectExtent l="0" t="0" r="5080" b="0"/>
              <wp:wrapNone/>
              <wp:docPr id="783098248" name="Cuadro de texto 1"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431E2BE0" w14:textId="7785F934" w:rsidR="00C66E4B" w:rsidRPr="00C66E4B" w:rsidRDefault="00C66E4B" w:rsidP="00C66E4B">
                          <w:pPr>
                            <w:rPr>
                              <w:rFonts w:ascii="Calibri" w:eastAsia="Calibri" w:hAnsi="Calibri" w:cs="Calibri"/>
                              <w:noProof/>
                              <w:color w:val="000000"/>
                              <w:sz w:val="20"/>
                              <w:szCs w:val="20"/>
                            </w:rPr>
                          </w:pPr>
                          <w:r w:rsidRPr="00C66E4B">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64FD91" id="_x0000_t202" coordsize="21600,21600" o:spt="202" path="m,l,21600r21600,l21600,xe">
              <v:stroke joinstyle="miter"/>
              <v:path gradientshapeok="t" o:connecttype="rect"/>
            </v:shapetype>
            <v:shape id="Cuadro de texto 1" o:spid="_x0000_s1028" type="#_x0000_t202" alt="DOCUMENTO DE USO INTERNO" style="position:absolute;margin-left:0;margin-top:0;width:128.6pt;height:27.2pt;z-index:2516807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" filled="f" stroked="f">
              <v:fill o:detectmouseclick="t"/>
              <v:textbox style="mso-fit-shape-to-text:t" inset="0,0,0,15pt">
                <w:txbxContent>
                  <w:p w14:paraId="431E2BE0" w14:textId="7785F934" w:rsidR="00C66E4B" w:rsidRPr="00C66E4B" w:rsidRDefault="00C66E4B" w:rsidP="00C66E4B">
                    <w:pPr>
                      <w:rPr>
                        <w:rFonts w:ascii="Calibri" w:eastAsia="Calibri" w:hAnsi="Calibri" w:cs="Calibri"/>
                        <w:noProof/>
                        <w:color w:val="000000"/>
                        <w:sz w:val="20"/>
                        <w:szCs w:val="20"/>
                      </w:rPr>
                    </w:pPr>
                    <w:r w:rsidRPr="00C66E4B">
                      <w:rPr>
                        <w:rFonts w:ascii="Calibri" w:eastAsia="Calibri" w:hAnsi="Calibri" w:cs="Calibri"/>
                        <w:noProof/>
                        <w:color w:val="000000"/>
                        <w:sz w:val="20"/>
                        <w:szCs w:val="20"/>
                      </w:rPr>
                      <w:t>DOCUMENTO DE USO INTERNO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8813E" w14:textId="77777777" w:rsidR="005F2C5A" w:rsidRDefault="005F2C5A" w:rsidP="00E85234">
      <w:r>
        <w:separator/>
      </w:r>
    </w:p>
  </w:footnote>
  <w:footnote w:type="continuationSeparator" w:id="0">
    <w:p w14:paraId="19857040" w14:textId="77777777" w:rsidR="005F2C5A" w:rsidRDefault="005F2C5A" w:rsidP="00E85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B87BD" w14:textId="499651C0" w:rsidR="00B2621F" w:rsidRDefault="00B2621F">
    <w:pPr>
      <w:pStyle w:val="Encabezado"/>
    </w:pPr>
    <w:r>
      <w:rPr>
        <w:noProof/>
      </w:rPr>
      <w:drawing>
        <wp:anchor distT="0" distB="0" distL="114300" distR="114300" simplePos="0" relativeHeight="251677696" behindDoc="1" locked="0" layoutInCell="1" allowOverlap="1" wp14:anchorId="16AC72BB" wp14:editId="3A5022D4">
          <wp:simplePos x="0" y="0"/>
          <wp:positionH relativeFrom="margin">
            <wp:align>center</wp:align>
          </wp:positionH>
          <wp:positionV relativeFrom="paragraph">
            <wp:posOffset>-97155</wp:posOffset>
          </wp:positionV>
          <wp:extent cx="2481580" cy="792480"/>
          <wp:effectExtent l="0" t="0" r="0" b="7620"/>
          <wp:wrapNone/>
          <wp:docPr id="17963085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1580" cy="79248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95F"/>
    <w:multiLevelType w:val="hybridMultilevel"/>
    <w:tmpl w:val="BAD4EE5C"/>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1" w15:restartNumberingAfterBreak="0">
    <w:nsid w:val="580E5A00"/>
    <w:multiLevelType w:val="hybridMultilevel"/>
    <w:tmpl w:val="1324A6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09613887">
    <w:abstractNumId w:val="1"/>
  </w:num>
  <w:num w:numId="2" w16cid:durableId="739130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234"/>
    <w:rsid w:val="00011CD2"/>
    <w:rsid w:val="00023AF8"/>
    <w:rsid w:val="00026634"/>
    <w:rsid w:val="0003021D"/>
    <w:rsid w:val="00047931"/>
    <w:rsid w:val="00047A27"/>
    <w:rsid w:val="000861F3"/>
    <w:rsid w:val="00087C55"/>
    <w:rsid w:val="00092828"/>
    <w:rsid w:val="000B26E8"/>
    <w:rsid w:val="000D7323"/>
    <w:rsid w:val="000E64BB"/>
    <w:rsid w:val="001110E8"/>
    <w:rsid w:val="001478F2"/>
    <w:rsid w:val="0015217A"/>
    <w:rsid w:val="0015575B"/>
    <w:rsid w:val="00162A42"/>
    <w:rsid w:val="00170A06"/>
    <w:rsid w:val="0017141E"/>
    <w:rsid w:val="00174F67"/>
    <w:rsid w:val="00182EEE"/>
    <w:rsid w:val="00193075"/>
    <w:rsid w:val="00194021"/>
    <w:rsid w:val="00194F47"/>
    <w:rsid w:val="00195FC0"/>
    <w:rsid w:val="001A0FA6"/>
    <w:rsid w:val="001A6438"/>
    <w:rsid w:val="001A6CBC"/>
    <w:rsid w:val="001B5A4C"/>
    <w:rsid w:val="001D459C"/>
    <w:rsid w:val="001E6984"/>
    <w:rsid w:val="00200301"/>
    <w:rsid w:val="00205C87"/>
    <w:rsid w:val="002252D6"/>
    <w:rsid w:val="00235AC0"/>
    <w:rsid w:val="00236F32"/>
    <w:rsid w:val="00241311"/>
    <w:rsid w:val="00244CDC"/>
    <w:rsid w:val="002455A0"/>
    <w:rsid w:val="00246402"/>
    <w:rsid w:val="00255538"/>
    <w:rsid w:val="00256F62"/>
    <w:rsid w:val="002642D8"/>
    <w:rsid w:val="0027529B"/>
    <w:rsid w:val="0027699C"/>
    <w:rsid w:val="00277A72"/>
    <w:rsid w:val="00295B73"/>
    <w:rsid w:val="002A09C6"/>
    <w:rsid w:val="002B7BAC"/>
    <w:rsid w:val="002D6539"/>
    <w:rsid w:val="002E1D39"/>
    <w:rsid w:val="002F0C89"/>
    <w:rsid w:val="003178DC"/>
    <w:rsid w:val="00342371"/>
    <w:rsid w:val="00361B1D"/>
    <w:rsid w:val="00367849"/>
    <w:rsid w:val="003678A0"/>
    <w:rsid w:val="003768CF"/>
    <w:rsid w:val="0039297C"/>
    <w:rsid w:val="003A0BD6"/>
    <w:rsid w:val="003B7744"/>
    <w:rsid w:val="003C1C56"/>
    <w:rsid w:val="003D43B9"/>
    <w:rsid w:val="003D5681"/>
    <w:rsid w:val="00402420"/>
    <w:rsid w:val="00407F48"/>
    <w:rsid w:val="00431C03"/>
    <w:rsid w:val="00436C45"/>
    <w:rsid w:val="00461183"/>
    <w:rsid w:val="004714D0"/>
    <w:rsid w:val="00495705"/>
    <w:rsid w:val="00496ECE"/>
    <w:rsid w:val="004972CC"/>
    <w:rsid w:val="004A06E9"/>
    <w:rsid w:val="004B015F"/>
    <w:rsid w:val="004E38BA"/>
    <w:rsid w:val="004E6E0A"/>
    <w:rsid w:val="004F0DB7"/>
    <w:rsid w:val="005153F2"/>
    <w:rsid w:val="00531325"/>
    <w:rsid w:val="005335E1"/>
    <w:rsid w:val="00537B75"/>
    <w:rsid w:val="00545EDE"/>
    <w:rsid w:val="005506A4"/>
    <w:rsid w:val="00552304"/>
    <w:rsid w:val="005557ED"/>
    <w:rsid w:val="00570F3C"/>
    <w:rsid w:val="005754F6"/>
    <w:rsid w:val="00577F6C"/>
    <w:rsid w:val="005820C1"/>
    <w:rsid w:val="005A0883"/>
    <w:rsid w:val="005B2D6E"/>
    <w:rsid w:val="005B5BE0"/>
    <w:rsid w:val="005D08DD"/>
    <w:rsid w:val="005D6B15"/>
    <w:rsid w:val="005D79AA"/>
    <w:rsid w:val="005D7C20"/>
    <w:rsid w:val="005E6B88"/>
    <w:rsid w:val="005F2C5A"/>
    <w:rsid w:val="005F41D1"/>
    <w:rsid w:val="00611110"/>
    <w:rsid w:val="00637B0D"/>
    <w:rsid w:val="00640856"/>
    <w:rsid w:val="00646AA0"/>
    <w:rsid w:val="0065303D"/>
    <w:rsid w:val="00653893"/>
    <w:rsid w:val="00684A90"/>
    <w:rsid w:val="0069639E"/>
    <w:rsid w:val="006B46B9"/>
    <w:rsid w:val="006B496F"/>
    <w:rsid w:val="006C06FF"/>
    <w:rsid w:val="006C4E6E"/>
    <w:rsid w:val="006D5C55"/>
    <w:rsid w:val="006D6203"/>
    <w:rsid w:val="006F14FE"/>
    <w:rsid w:val="00701E42"/>
    <w:rsid w:val="00702253"/>
    <w:rsid w:val="00707594"/>
    <w:rsid w:val="00731507"/>
    <w:rsid w:val="007359A4"/>
    <w:rsid w:val="00741639"/>
    <w:rsid w:val="00786260"/>
    <w:rsid w:val="007A3C5D"/>
    <w:rsid w:val="007B23D9"/>
    <w:rsid w:val="007D338A"/>
    <w:rsid w:val="007E2FB1"/>
    <w:rsid w:val="007F0777"/>
    <w:rsid w:val="00802C3D"/>
    <w:rsid w:val="008420DD"/>
    <w:rsid w:val="008538A4"/>
    <w:rsid w:val="008616CC"/>
    <w:rsid w:val="00864E0C"/>
    <w:rsid w:val="00884693"/>
    <w:rsid w:val="008852F7"/>
    <w:rsid w:val="00886016"/>
    <w:rsid w:val="00894B86"/>
    <w:rsid w:val="00897BB4"/>
    <w:rsid w:val="008A5F79"/>
    <w:rsid w:val="008B6608"/>
    <w:rsid w:val="008C418D"/>
    <w:rsid w:val="008D259B"/>
    <w:rsid w:val="008E7FD5"/>
    <w:rsid w:val="008F404D"/>
    <w:rsid w:val="0091698D"/>
    <w:rsid w:val="009173C7"/>
    <w:rsid w:val="009335F8"/>
    <w:rsid w:val="00934887"/>
    <w:rsid w:val="0094241C"/>
    <w:rsid w:val="00942A7D"/>
    <w:rsid w:val="009458D0"/>
    <w:rsid w:val="009508A2"/>
    <w:rsid w:val="009556B9"/>
    <w:rsid w:val="00961BB2"/>
    <w:rsid w:val="009651F7"/>
    <w:rsid w:val="0097007E"/>
    <w:rsid w:val="009A3537"/>
    <w:rsid w:val="009A770A"/>
    <w:rsid w:val="009D2429"/>
    <w:rsid w:val="009D6458"/>
    <w:rsid w:val="009D7D72"/>
    <w:rsid w:val="009E1731"/>
    <w:rsid w:val="009F01DA"/>
    <w:rsid w:val="00A30D82"/>
    <w:rsid w:val="00A33666"/>
    <w:rsid w:val="00A40362"/>
    <w:rsid w:val="00A613EB"/>
    <w:rsid w:val="00A74C7E"/>
    <w:rsid w:val="00A74DDF"/>
    <w:rsid w:val="00A7703B"/>
    <w:rsid w:val="00A90686"/>
    <w:rsid w:val="00A90A1E"/>
    <w:rsid w:val="00A91E63"/>
    <w:rsid w:val="00AA4849"/>
    <w:rsid w:val="00AA5BA7"/>
    <w:rsid w:val="00AB05E2"/>
    <w:rsid w:val="00AB1B76"/>
    <w:rsid w:val="00AB4BF9"/>
    <w:rsid w:val="00AB7B91"/>
    <w:rsid w:val="00AF664D"/>
    <w:rsid w:val="00B13433"/>
    <w:rsid w:val="00B13BC7"/>
    <w:rsid w:val="00B2621F"/>
    <w:rsid w:val="00B27541"/>
    <w:rsid w:val="00B3032F"/>
    <w:rsid w:val="00B347A3"/>
    <w:rsid w:val="00B416C7"/>
    <w:rsid w:val="00B51EB4"/>
    <w:rsid w:val="00B633F9"/>
    <w:rsid w:val="00B87AAD"/>
    <w:rsid w:val="00B94355"/>
    <w:rsid w:val="00BA6722"/>
    <w:rsid w:val="00BC4A48"/>
    <w:rsid w:val="00BD3B97"/>
    <w:rsid w:val="00C12157"/>
    <w:rsid w:val="00C146DD"/>
    <w:rsid w:val="00C25C7A"/>
    <w:rsid w:val="00C47F55"/>
    <w:rsid w:val="00C61EA6"/>
    <w:rsid w:val="00C66E4B"/>
    <w:rsid w:val="00C77C69"/>
    <w:rsid w:val="00C8141D"/>
    <w:rsid w:val="00C853A4"/>
    <w:rsid w:val="00C9022D"/>
    <w:rsid w:val="00C90EFA"/>
    <w:rsid w:val="00CA79DE"/>
    <w:rsid w:val="00CB47D2"/>
    <w:rsid w:val="00CC0016"/>
    <w:rsid w:val="00CC5554"/>
    <w:rsid w:val="00CC6219"/>
    <w:rsid w:val="00CD1100"/>
    <w:rsid w:val="00CF59D8"/>
    <w:rsid w:val="00D20C34"/>
    <w:rsid w:val="00D20C7D"/>
    <w:rsid w:val="00D31E97"/>
    <w:rsid w:val="00D375AD"/>
    <w:rsid w:val="00D63934"/>
    <w:rsid w:val="00D74CA1"/>
    <w:rsid w:val="00D848EA"/>
    <w:rsid w:val="00D870C6"/>
    <w:rsid w:val="00D97211"/>
    <w:rsid w:val="00DC0B15"/>
    <w:rsid w:val="00DC5BBD"/>
    <w:rsid w:val="00DC76C6"/>
    <w:rsid w:val="00DD192D"/>
    <w:rsid w:val="00DD5389"/>
    <w:rsid w:val="00DE4D9A"/>
    <w:rsid w:val="00DE769F"/>
    <w:rsid w:val="00DF1BB5"/>
    <w:rsid w:val="00E05A1B"/>
    <w:rsid w:val="00E07D77"/>
    <w:rsid w:val="00E5297D"/>
    <w:rsid w:val="00E52F33"/>
    <w:rsid w:val="00E55CE6"/>
    <w:rsid w:val="00E63C70"/>
    <w:rsid w:val="00E75605"/>
    <w:rsid w:val="00E81AA0"/>
    <w:rsid w:val="00E85234"/>
    <w:rsid w:val="00EA494E"/>
    <w:rsid w:val="00EB2332"/>
    <w:rsid w:val="00EB6242"/>
    <w:rsid w:val="00EC5084"/>
    <w:rsid w:val="00EC7CFE"/>
    <w:rsid w:val="00ED5BD9"/>
    <w:rsid w:val="00ED5C2C"/>
    <w:rsid w:val="00ED7FD0"/>
    <w:rsid w:val="00EE76E5"/>
    <w:rsid w:val="00EF0D34"/>
    <w:rsid w:val="00EF0E97"/>
    <w:rsid w:val="00EF4202"/>
    <w:rsid w:val="00F01127"/>
    <w:rsid w:val="00F13700"/>
    <w:rsid w:val="00F1663A"/>
    <w:rsid w:val="00F251C4"/>
    <w:rsid w:val="00F545E3"/>
    <w:rsid w:val="00F855C3"/>
    <w:rsid w:val="00F861D1"/>
    <w:rsid w:val="00FB1383"/>
    <w:rsid w:val="00FB19AC"/>
    <w:rsid w:val="00FB391B"/>
    <w:rsid w:val="00FB614D"/>
    <w:rsid w:val="00FB6831"/>
    <w:rsid w:val="00FE350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D6E3B"/>
  <w15:docId w15:val="{14BA731B-2B52-4DD5-9B9E-FB5F11F3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30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5234"/>
    <w:pPr>
      <w:tabs>
        <w:tab w:val="center" w:pos="4419"/>
        <w:tab w:val="right" w:pos="8838"/>
      </w:tabs>
    </w:pPr>
  </w:style>
  <w:style w:type="character" w:customStyle="1" w:styleId="EncabezadoCar">
    <w:name w:val="Encabezado Car"/>
    <w:basedOn w:val="Fuentedeprrafopredeter"/>
    <w:link w:val="Encabezado"/>
    <w:uiPriority w:val="99"/>
    <w:rsid w:val="00E85234"/>
  </w:style>
  <w:style w:type="paragraph" w:styleId="Piedepgina">
    <w:name w:val="footer"/>
    <w:basedOn w:val="Normal"/>
    <w:link w:val="PiedepginaCar"/>
    <w:uiPriority w:val="99"/>
    <w:unhideWhenUsed/>
    <w:rsid w:val="00E85234"/>
    <w:pPr>
      <w:tabs>
        <w:tab w:val="center" w:pos="4419"/>
        <w:tab w:val="right" w:pos="8838"/>
      </w:tabs>
    </w:pPr>
  </w:style>
  <w:style w:type="character" w:customStyle="1" w:styleId="PiedepginaCar">
    <w:name w:val="Pie de página Car"/>
    <w:basedOn w:val="Fuentedeprrafopredeter"/>
    <w:link w:val="Piedepgina"/>
    <w:uiPriority w:val="99"/>
    <w:rsid w:val="00E85234"/>
  </w:style>
  <w:style w:type="paragraph" w:styleId="Textodeglobo">
    <w:name w:val="Balloon Text"/>
    <w:basedOn w:val="Normal"/>
    <w:link w:val="TextodegloboCar"/>
    <w:uiPriority w:val="99"/>
    <w:semiHidden/>
    <w:unhideWhenUsed/>
    <w:rsid w:val="003D43B9"/>
    <w:rPr>
      <w:rFonts w:ascii="Tahoma" w:hAnsi="Tahoma" w:cs="Tahoma"/>
      <w:sz w:val="16"/>
      <w:szCs w:val="16"/>
    </w:rPr>
  </w:style>
  <w:style w:type="character" w:customStyle="1" w:styleId="TextodegloboCar">
    <w:name w:val="Texto de globo Car"/>
    <w:basedOn w:val="Fuentedeprrafopredeter"/>
    <w:link w:val="Textodeglobo"/>
    <w:uiPriority w:val="99"/>
    <w:semiHidden/>
    <w:rsid w:val="003D43B9"/>
    <w:rPr>
      <w:rFonts w:ascii="Tahoma" w:hAnsi="Tahoma" w:cs="Tahoma"/>
      <w:sz w:val="16"/>
      <w:szCs w:val="16"/>
    </w:rPr>
  </w:style>
  <w:style w:type="paragraph" w:customStyle="1" w:styleId="Default">
    <w:name w:val="Default"/>
    <w:rsid w:val="00B27541"/>
    <w:pPr>
      <w:autoSpaceDE w:val="0"/>
      <w:autoSpaceDN w:val="0"/>
      <w:adjustRightInd w:val="0"/>
    </w:pPr>
    <w:rPr>
      <w:rFonts w:ascii="Arial" w:hAnsi="Arial" w:cs="Arial"/>
      <w:color w:val="000000"/>
      <w14:ligatures w14:val="standardContextual"/>
    </w:rPr>
  </w:style>
  <w:style w:type="character" w:styleId="Hipervnculo">
    <w:name w:val="Hyperlink"/>
    <w:basedOn w:val="Fuentedeprrafopredeter"/>
    <w:uiPriority w:val="99"/>
    <w:unhideWhenUsed/>
    <w:rsid w:val="00ED7FD0"/>
    <w:rPr>
      <w:color w:val="0563C1" w:themeColor="hyperlink"/>
      <w:u w:val="single"/>
    </w:rPr>
  </w:style>
  <w:style w:type="character" w:styleId="Mencinsinresolver">
    <w:name w:val="Unresolved Mention"/>
    <w:basedOn w:val="Fuentedeprrafopredeter"/>
    <w:uiPriority w:val="99"/>
    <w:semiHidden/>
    <w:unhideWhenUsed/>
    <w:rsid w:val="00ED7FD0"/>
    <w:rPr>
      <w:color w:val="605E5C"/>
      <w:shd w:val="clear" w:color="auto" w:fill="E1DFDD"/>
    </w:rPr>
  </w:style>
  <w:style w:type="table" w:styleId="Tablaconcuadrcula">
    <w:name w:val="Table Grid"/>
    <w:basedOn w:val="Tablanormal"/>
    <w:uiPriority w:val="39"/>
    <w:rsid w:val="00087C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05A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978910">
      <w:bodyDiv w:val="1"/>
      <w:marLeft w:val="0"/>
      <w:marRight w:val="0"/>
      <w:marTop w:val="0"/>
      <w:marBottom w:val="0"/>
      <w:divBdr>
        <w:top w:val="none" w:sz="0" w:space="0" w:color="auto"/>
        <w:left w:val="none" w:sz="0" w:space="0" w:color="auto"/>
        <w:bottom w:val="none" w:sz="0" w:space="0" w:color="auto"/>
        <w:right w:val="none" w:sz="0" w:space="0" w:color="auto"/>
      </w:divBdr>
    </w:div>
    <w:div w:id="153684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5</Pages>
  <Words>2227</Words>
  <Characters>12432</Characters>
  <Application>Microsoft Office Word</Application>
  <DocSecurity>0</DocSecurity>
  <Lines>197</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Alejandra Aguas</dc:creator>
  <cp:lastModifiedBy>César Ramírez Vergara.</cp:lastModifiedBy>
  <cp:revision>131</cp:revision>
  <cp:lastPrinted>2025-03-13T16:19:00Z</cp:lastPrinted>
  <dcterms:created xsi:type="dcterms:W3CDTF">2025-02-20T14:40:00Z</dcterms:created>
  <dcterms:modified xsi:type="dcterms:W3CDTF">2026-05-04T20:51:00Z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2ead2188,516b71a6,961b41e</vt:lpwstr>
  </property>
  <property fmtid="{D5CDD505-2E9C-101B-9397-08002B2CF9AE}" pid="3" name="ClassificationContentMarkingFooterFontProps">
    <vt:lpwstr>#000000,10,Calibri</vt:lpwstr>
  </property>
  <property fmtid="{D5CDD505-2E9C-101B-9397-08002B2CF9AE}" pid="4" name="ClassificationContentMarkingFooterText">
    <vt:lpwstr>DOCUMENTO DE USO INTERNO</vt:lpwstr>
  </property>
  <property fmtid="{D5CDD505-2E9C-101B-9397-08002B2CF9AE}" pid="5" name="MSIP_Label_1f9f3886-688c-41ec-beb5-f6c446299e5f_Enabled">
    <vt:lpwstr>true</vt:lpwstr>
  </property>
  <property fmtid="{D5CDD505-2E9C-101B-9397-08002B2CF9AE}" pid="6" name="MSIP_Label_1f9f3886-688c-41ec-beb5-f6c446299e5f_SetDate">
    <vt:lpwstr>2026-03-24T18:26:13Z</vt:lpwstr>
  </property>
  <property fmtid="{D5CDD505-2E9C-101B-9397-08002B2CF9AE}" pid="7" name="MSIP_Label_1f9f3886-688c-41ec-beb5-f6c446299e5f_Method">
    <vt:lpwstr>Standard</vt:lpwstr>
  </property>
  <property fmtid="{D5CDD505-2E9C-101B-9397-08002B2CF9AE}" pid="8" name="MSIP_Label_1f9f3886-688c-41ec-beb5-f6c446299e5f_Name">
    <vt:lpwstr>Interno - Acceso abierto (No Cifrado)</vt:lpwstr>
  </property>
  <property fmtid="{D5CDD505-2E9C-101B-9397-08002B2CF9AE}" pid="9" name="MSIP_Label_1f9f3886-688c-41ec-beb5-f6c446299e5f_SiteId">
    <vt:lpwstr>73e84937-70de-4ceb-8f14-b8f9ab356f6e</vt:lpwstr>
  </property>
  <property fmtid="{D5CDD505-2E9C-101B-9397-08002B2CF9AE}" pid="10" name="MSIP_Label_1f9f3886-688c-41ec-beb5-f6c446299e5f_ActionId">
    <vt:lpwstr>eb3cf23d-1661-4801-8533-f6ac257b9019</vt:lpwstr>
  </property>
  <property fmtid="{D5CDD505-2E9C-101B-9397-08002B2CF9AE}" pid="11" name="MSIP_Label_1f9f3886-688c-41ec-beb5-f6c446299e5f_ContentBits">
    <vt:lpwstr>2</vt:lpwstr>
  </property>
  <property fmtid="{D5CDD505-2E9C-101B-9397-08002B2CF9AE}" pid="12" name="MSIP_Label_1f9f3886-688c-41ec-beb5-f6c446299e5f_Tag">
    <vt:lpwstr>10, 3, 0, 1</vt:lpwstr>
  </property>
</Properties>
</file>